
<file path=[Content_Types].xml><?xml version="1.0" encoding="utf-8"?>
<Types xmlns="http://schemas.openxmlformats.org/package/2006/content-types">
  <Default Extension="bin" ContentType="application/vnd.openxmlformats-officedocument.oleObject"/>
  <Default Extension="EDA999D0" ContentType="image/png"/>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59C63" w14:textId="77777777" w:rsidR="009D7992" w:rsidRDefault="009D7992" w:rsidP="005F3590">
      <w:pPr>
        <w:pStyle w:val="Title"/>
        <w:jc w:val="center"/>
        <w:rPr>
          <w:sz w:val="48"/>
          <w:szCs w:val="48"/>
        </w:rPr>
      </w:pPr>
    </w:p>
    <w:p w14:paraId="62C62822" w14:textId="77777777" w:rsidR="00DD733E" w:rsidRDefault="00DD733E" w:rsidP="005F3590">
      <w:pPr>
        <w:pStyle w:val="Title"/>
        <w:jc w:val="center"/>
        <w:rPr>
          <w:sz w:val="48"/>
          <w:szCs w:val="48"/>
        </w:rPr>
      </w:pPr>
    </w:p>
    <w:p w14:paraId="1E38F09A" w14:textId="509D0068" w:rsidR="007111FF" w:rsidRPr="00AF3D2F" w:rsidRDefault="0058602C" w:rsidP="005F3590">
      <w:pPr>
        <w:pStyle w:val="Title"/>
        <w:jc w:val="center"/>
        <w:rPr>
          <w:sz w:val="48"/>
          <w:szCs w:val="48"/>
        </w:rPr>
      </w:pPr>
      <w:r w:rsidRPr="00AF3D2F">
        <w:rPr>
          <w:sz w:val="48"/>
          <w:szCs w:val="48"/>
        </w:rPr>
        <w:t>Support for Equity Definitions VE v2.0 in FpML 5.14</w:t>
      </w:r>
      <w:bookmarkStart w:id="0" w:name="_Toc221553317"/>
    </w:p>
    <w:p w14:paraId="5F5DE1FE" w14:textId="28B0BA53" w:rsidR="001A05BF" w:rsidRDefault="0067461D" w:rsidP="005F3590">
      <w:pPr>
        <w:jc w:val="center"/>
        <w:rPr>
          <w:rStyle w:val="SubtleReference"/>
          <w:rFonts w:eastAsiaTheme="majorEastAsia" w:cstheme="majorBidi"/>
          <w:smallCaps w:val="0"/>
          <w:color w:val="595959" w:themeColor="text1" w:themeTint="A6"/>
          <w:spacing w:val="15"/>
          <w:sz w:val="36"/>
          <w:szCs w:val="36"/>
        </w:rPr>
      </w:pPr>
      <w:r w:rsidRPr="0067461D">
        <w:rPr>
          <w:rStyle w:val="SubtleReference"/>
          <w:smallCaps w:val="0"/>
          <w:color w:val="595959" w:themeColor="text1" w:themeTint="A6"/>
          <w:sz w:val="36"/>
          <w:szCs w:val="36"/>
        </w:rPr>
        <w:t>ISDA FpML Cross Asset Product Working Group</w:t>
      </w:r>
      <w:bookmarkEnd w:id="0"/>
    </w:p>
    <w:p w14:paraId="5840ABA4" w14:textId="7BB28A01" w:rsidR="00F3154D" w:rsidRPr="001A05BF" w:rsidRDefault="002D6246" w:rsidP="005F3590">
      <w:pPr>
        <w:jc w:val="center"/>
        <w:rPr>
          <w:rStyle w:val="IntenseEmphasis"/>
          <w:sz w:val="32"/>
          <w:szCs w:val="32"/>
        </w:rPr>
      </w:pPr>
      <w:r>
        <w:rPr>
          <w:rStyle w:val="IntenseEmphasis"/>
          <w:sz w:val="32"/>
          <w:szCs w:val="32"/>
        </w:rPr>
        <w:t>September</w:t>
      </w:r>
      <w:r w:rsidR="2BECA6E1" w:rsidRPr="78664A5F">
        <w:rPr>
          <w:rStyle w:val="IntenseEmphasis"/>
          <w:sz w:val="32"/>
          <w:szCs w:val="32"/>
        </w:rPr>
        <w:t xml:space="preserve"> </w:t>
      </w:r>
      <w:r w:rsidR="00F3154D" w:rsidRPr="001A05BF">
        <w:rPr>
          <w:rStyle w:val="IntenseEmphasis"/>
          <w:sz w:val="32"/>
          <w:szCs w:val="32"/>
        </w:rPr>
        <w:t xml:space="preserve">2026 </w:t>
      </w:r>
      <w:r w:rsidR="00614125">
        <w:rPr>
          <w:rStyle w:val="IntenseEmphasis"/>
          <w:sz w:val="32"/>
          <w:szCs w:val="32"/>
        </w:rPr>
        <w:t>–</w:t>
      </w:r>
      <w:r w:rsidR="00B777B9">
        <w:rPr>
          <w:rStyle w:val="IntenseEmphasis"/>
          <w:sz w:val="32"/>
          <w:szCs w:val="32"/>
        </w:rPr>
        <w:t xml:space="preserve"> </w:t>
      </w:r>
      <w:r>
        <w:rPr>
          <w:rStyle w:val="IntenseEmphasis"/>
          <w:sz w:val="32"/>
          <w:szCs w:val="32"/>
        </w:rPr>
        <w:t>TR</w:t>
      </w:r>
      <w:r w:rsidR="00176DB5">
        <w:rPr>
          <w:rStyle w:val="IntenseEmphasis"/>
          <w:sz w:val="32"/>
          <w:szCs w:val="32"/>
        </w:rPr>
        <w:t xml:space="preserve"> (</w:t>
      </w:r>
      <w:r>
        <w:rPr>
          <w:rStyle w:val="IntenseEmphasis"/>
          <w:sz w:val="32"/>
          <w:szCs w:val="32"/>
        </w:rPr>
        <w:t xml:space="preserve">Final </w:t>
      </w:r>
      <w:r w:rsidR="00176DB5">
        <w:rPr>
          <w:rStyle w:val="IntenseEmphasis"/>
          <w:sz w:val="32"/>
          <w:szCs w:val="32"/>
        </w:rPr>
        <w:t>I</w:t>
      </w:r>
      <w:r w:rsidR="008E51CC">
        <w:rPr>
          <w:rStyle w:val="IntenseEmphasis"/>
          <w:sz w:val="32"/>
          <w:szCs w:val="32"/>
        </w:rPr>
        <w:t>mplementation</w:t>
      </w:r>
      <w:r w:rsidR="00CD72BE">
        <w:rPr>
          <w:rStyle w:val="IntenseEmphasis"/>
          <w:sz w:val="32"/>
          <w:szCs w:val="32"/>
        </w:rPr>
        <w:t>)</w:t>
      </w:r>
    </w:p>
    <w:p w14:paraId="1B3F792A" w14:textId="77777777" w:rsidR="007035EF" w:rsidRPr="007111FF" w:rsidRDefault="007035EF" w:rsidP="005F3590"/>
    <w:p w14:paraId="6D39ABD9" w14:textId="1B98401C" w:rsidR="00E26EA1" w:rsidRPr="00E93179" w:rsidRDefault="00F740E4" w:rsidP="00840FFD">
      <w:pPr>
        <w:pStyle w:val="TOCHeading"/>
        <w:rPr>
          <w:rFonts w:ascii="Arial" w:hAnsi="Arial" w:cs="Arial"/>
          <w:sz w:val="24"/>
          <w:szCs w:val="24"/>
        </w:rPr>
      </w:pPr>
      <w:r w:rsidRPr="00E93179">
        <w:rPr>
          <w:rFonts w:ascii="Arial" w:hAnsi="Arial" w:cs="Arial"/>
          <w:sz w:val="24"/>
          <w:szCs w:val="24"/>
        </w:rPr>
        <w:t xml:space="preserve">This </w:t>
      </w:r>
      <w:r w:rsidR="002A5803" w:rsidRPr="00E93179">
        <w:rPr>
          <w:rFonts w:ascii="Arial" w:hAnsi="Arial" w:cs="Arial"/>
          <w:sz w:val="24"/>
          <w:szCs w:val="24"/>
        </w:rPr>
        <w:t>document</w:t>
      </w:r>
      <w:r w:rsidRPr="00E93179">
        <w:rPr>
          <w:rFonts w:ascii="Arial" w:hAnsi="Arial" w:cs="Arial"/>
          <w:sz w:val="24"/>
          <w:szCs w:val="24"/>
        </w:rPr>
        <w:t xml:space="preserve"> provides </w:t>
      </w:r>
      <w:r w:rsidRPr="00E93179">
        <w:rPr>
          <w:rFonts w:ascii="Arial" w:hAnsi="Arial" w:cs="Arial"/>
          <w:b/>
          <w:bCs/>
          <w:sz w:val="24"/>
          <w:szCs w:val="24"/>
        </w:rPr>
        <w:t xml:space="preserve">business </w:t>
      </w:r>
      <w:r w:rsidR="002A5803" w:rsidRPr="00E93179">
        <w:rPr>
          <w:rFonts w:ascii="Arial" w:hAnsi="Arial" w:cs="Arial"/>
          <w:b/>
          <w:bCs/>
          <w:sz w:val="24"/>
          <w:szCs w:val="24"/>
        </w:rPr>
        <w:t>context</w:t>
      </w:r>
      <w:r w:rsidRPr="00E93179">
        <w:rPr>
          <w:rFonts w:ascii="Arial" w:hAnsi="Arial" w:cs="Arial"/>
          <w:b/>
          <w:bCs/>
          <w:sz w:val="24"/>
          <w:szCs w:val="24"/>
        </w:rPr>
        <w:t xml:space="preserve"> and high-level explanations</w:t>
      </w:r>
      <w:r w:rsidRPr="00E93179">
        <w:rPr>
          <w:rFonts w:ascii="Arial" w:hAnsi="Arial" w:cs="Arial"/>
          <w:sz w:val="24"/>
          <w:szCs w:val="24"/>
        </w:rPr>
        <w:t xml:space="preserve"> for concept</w:t>
      </w:r>
      <w:r w:rsidR="003B159C">
        <w:rPr>
          <w:rFonts w:ascii="Arial" w:hAnsi="Arial" w:cs="Arial"/>
          <w:sz w:val="24"/>
          <w:szCs w:val="24"/>
        </w:rPr>
        <w:t>s</w:t>
      </w:r>
      <w:r w:rsidRPr="00E93179">
        <w:rPr>
          <w:rFonts w:ascii="Arial" w:hAnsi="Arial" w:cs="Arial"/>
          <w:sz w:val="24"/>
          <w:szCs w:val="24"/>
        </w:rPr>
        <w:t xml:space="preserve"> introduced in v2.0 of the </w:t>
      </w:r>
      <w:r w:rsidR="008A20BE">
        <w:rPr>
          <w:rFonts w:ascii="Arial" w:hAnsi="Arial" w:cs="Arial"/>
          <w:sz w:val="24"/>
          <w:szCs w:val="24"/>
        </w:rPr>
        <w:t xml:space="preserve">2002 ISDA </w:t>
      </w:r>
      <w:r w:rsidRPr="00E93179">
        <w:rPr>
          <w:rFonts w:ascii="Arial" w:hAnsi="Arial" w:cs="Arial"/>
          <w:sz w:val="24"/>
          <w:szCs w:val="24"/>
        </w:rPr>
        <w:t xml:space="preserve">Equity </w:t>
      </w:r>
      <w:r w:rsidR="008A20BE">
        <w:rPr>
          <w:rFonts w:ascii="Arial" w:hAnsi="Arial" w:cs="Arial"/>
          <w:sz w:val="24"/>
          <w:szCs w:val="24"/>
        </w:rPr>
        <w:t xml:space="preserve">Derivatives </w:t>
      </w:r>
      <w:r w:rsidRPr="00E93179">
        <w:rPr>
          <w:rFonts w:ascii="Arial" w:hAnsi="Arial" w:cs="Arial"/>
          <w:sz w:val="24"/>
          <w:szCs w:val="24"/>
        </w:rPr>
        <w:t xml:space="preserve">Definitions </w:t>
      </w:r>
      <w:r w:rsidR="008A20BE">
        <w:rPr>
          <w:rFonts w:ascii="Arial" w:hAnsi="Arial" w:cs="Arial"/>
          <w:sz w:val="24"/>
          <w:szCs w:val="24"/>
        </w:rPr>
        <w:t>(Versionable Edition) (the “</w:t>
      </w:r>
      <w:r w:rsidR="008A20BE" w:rsidRPr="00E71A67">
        <w:rPr>
          <w:rFonts w:ascii="Arial" w:hAnsi="Arial" w:cs="Arial"/>
          <w:b/>
          <w:bCs/>
          <w:sz w:val="24"/>
          <w:szCs w:val="24"/>
        </w:rPr>
        <w:t>Equity Defini</w:t>
      </w:r>
      <w:r w:rsidR="00302BD3" w:rsidRPr="00E71A67">
        <w:rPr>
          <w:rFonts w:ascii="Arial" w:hAnsi="Arial" w:cs="Arial"/>
          <w:b/>
          <w:bCs/>
          <w:sz w:val="24"/>
          <w:szCs w:val="24"/>
        </w:rPr>
        <w:t xml:space="preserve">tions </w:t>
      </w:r>
      <w:r w:rsidRPr="00E71A67">
        <w:rPr>
          <w:rFonts w:ascii="Arial" w:hAnsi="Arial" w:cs="Arial"/>
          <w:b/>
          <w:bCs/>
          <w:sz w:val="24"/>
          <w:szCs w:val="24"/>
        </w:rPr>
        <w:t>VE</w:t>
      </w:r>
      <w:r w:rsidR="00302BD3">
        <w:rPr>
          <w:rFonts w:ascii="Arial" w:hAnsi="Arial" w:cs="Arial"/>
          <w:sz w:val="24"/>
          <w:szCs w:val="24"/>
        </w:rPr>
        <w:t>”)</w:t>
      </w:r>
      <w:r w:rsidRPr="00E93179">
        <w:rPr>
          <w:rFonts w:ascii="Arial" w:hAnsi="Arial" w:cs="Arial"/>
          <w:sz w:val="24"/>
          <w:szCs w:val="24"/>
        </w:rPr>
        <w:t xml:space="preserve"> and </w:t>
      </w:r>
      <w:r w:rsidR="003B159C">
        <w:rPr>
          <w:rFonts w:ascii="Arial" w:hAnsi="Arial" w:cs="Arial"/>
          <w:sz w:val="24"/>
          <w:szCs w:val="24"/>
        </w:rPr>
        <w:t xml:space="preserve">is </w:t>
      </w:r>
      <w:r w:rsidRPr="00E93179">
        <w:rPr>
          <w:rFonts w:ascii="Arial" w:hAnsi="Arial" w:cs="Arial"/>
          <w:sz w:val="24"/>
          <w:szCs w:val="24"/>
        </w:rPr>
        <w:t xml:space="preserve">intended for representation in FpML. </w:t>
      </w:r>
      <w:r w:rsidR="00A42E2F" w:rsidRPr="00E93179">
        <w:rPr>
          <w:rFonts w:ascii="Arial" w:hAnsi="Arial" w:cs="Arial"/>
          <w:sz w:val="24"/>
          <w:szCs w:val="24"/>
        </w:rPr>
        <w:t xml:space="preserve">All </w:t>
      </w:r>
      <w:r w:rsidR="00BE7C2C" w:rsidRPr="00E93179">
        <w:rPr>
          <w:rFonts w:ascii="Arial" w:hAnsi="Arial" w:cs="Arial"/>
          <w:sz w:val="24"/>
          <w:szCs w:val="24"/>
        </w:rPr>
        <w:t>fields</w:t>
      </w:r>
      <w:r w:rsidR="007E32C9" w:rsidRPr="00E93179">
        <w:rPr>
          <w:rFonts w:ascii="Arial" w:hAnsi="Arial" w:cs="Arial"/>
          <w:sz w:val="24"/>
          <w:szCs w:val="24"/>
        </w:rPr>
        <w:t xml:space="preserve"> being proposed</w:t>
      </w:r>
      <w:r w:rsidR="00BE7C2C" w:rsidRPr="00E93179">
        <w:rPr>
          <w:rFonts w:ascii="Arial" w:hAnsi="Arial" w:cs="Arial"/>
          <w:sz w:val="24"/>
          <w:szCs w:val="24"/>
        </w:rPr>
        <w:t xml:space="preserve"> in this document are </w:t>
      </w:r>
      <w:r w:rsidR="00A61344" w:rsidRPr="00E93179">
        <w:rPr>
          <w:rFonts w:ascii="Arial" w:hAnsi="Arial" w:cs="Arial"/>
          <w:sz w:val="24"/>
          <w:szCs w:val="24"/>
        </w:rPr>
        <w:t xml:space="preserve">not mandatory from </w:t>
      </w:r>
      <w:r w:rsidR="00594A7B">
        <w:rPr>
          <w:rFonts w:ascii="Arial" w:hAnsi="Arial" w:cs="Arial"/>
          <w:sz w:val="24"/>
          <w:szCs w:val="24"/>
        </w:rPr>
        <w:t xml:space="preserve">a </w:t>
      </w:r>
      <w:r w:rsidR="00302BD3">
        <w:rPr>
          <w:rFonts w:ascii="Arial" w:hAnsi="Arial" w:cs="Arial"/>
          <w:sz w:val="24"/>
          <w:szCs w:val="24"/>
        </w:rPr>
        <w:t xml:space="preserve">transaction </w:t>
      </w:r>
      <w:r w:rsidR="00947C4B">
        <w:rPr>
          <w:rFonts w:ascii="Arial" w:hAnsi="Arial" w:cs="Arial"/>
          <w:sz w:val="24"/>
          <w:szCs w:val="24"/>
        </w:rPr>
        <w:t xml:space="preserve">documentation </w:t>
      </w:r>
      <w:r w:rsidR="00A61344" w:rsidRPr="00E93179">
        <w:rPr>
          <w:rFonts w:ascii="Arial" w:hAnsi="Arial" w:cs="Arial"/>
          <w:sz w:val="24"/>
          <w:szCs w:val="24"/>
        </w:rPr>
        <w:t>perspectiv</w:t>
      </w:r>
      <w:r w:rsidR="00594A7B">
        <w:rPr>
          <w:rFonts w:ascii="Arial" w:hAnsi="Arial" w:cs="Arial"/>
          <w:sz w:val="24"/>
          <w:szCs w:val="24"/>
        </w:rPr>
        <w:t>e –</w:t>
      </w:r>
      <w:r w:rsidR="00CF2BE5" w:rsidRPr="00E93179">
        <w:rPr>
          <w:rFonts w:ascii="Arial" w:hAnsi="Arial" w:cs="Arial"/>
          <w:sz w:val="24"/>
          <w:szCs w:val="24"/>
        </w:rPr>
        <w:t xml:space="preserve"> they will only apply to the transaction if </w:t>
      </w:r>
      <w:r w:rsidR="00594A7B">
        <w:rPr>
          <w:rFonts w:ascii="Arial" w:hAnsi="Arial" w:cs="Arial"/>
          <w:sz w:val="24"/>
          <w:szCs w:val="24"/>
        </w:rPr>
        <w:t xml:space="preserve">the parties </w:t>
      </w:r>
      <w:r w:rsidR="00CF2BE5" w:rsidRPr="00E93179">
        <w:rPr>
          <w:rFonts w:ascii="Arial" w:hAnsi="Arial" w:cs="Arial"/>
          <w:sz w:val="24"/>
          <w:szCs w:val="24"/>
        </w:rPr>
        <w:t>elect</w:t>
      </w:r>
      <w:r w:rsidR="00594A7B">
        <w:rPr>
          <w:rFonts w:ascii="Arial" w:hAnsi="Arial" w:cs="Arial"/>
          <w:sz w:val="24"/>
          <w:szCs w:val="24"/>
        </w:rPr>
        <w:t xml:space="preserve"> them</w:t>
      </w:r>
      <w:r w:rsidR="00CF2BE5" w:rsidRPr="00E93179">
        <w:rPr>
          <w:rFonts w:ascii="Arial" w:hAnsi="Arial" w:cs="Arial"/>
          <w:sz w:val="24"/>
          <w:szCs w:val="24"/>
        </w:rPr>
        <w:t xml:space="preserve"> </w:t>
      </w:r>
      <w:r w:rsidR="00947C4B">
        <w:rPr>
          <w:rFonts w:ascii="Arial" w:hAnsi="Arial" w:cs="Arial"/>
          <w:sz w:val="24"/>
          <w:szCs w:val="24"/>
        </w:rPr>
        <w:t>in the confirmation</w:t>
      </w:r>
      <w:r w:rsidR="00791EF8">
        <w:rPr>
          <w:rFonts w:ascii="Arial" w:hAnsi="Arial" w:cs="Arial"/>
          <w:sz w:val="24"/>
          <w:szCs w:val="24"/>
        </w:rPr>
        <w:t>,</w:t>
      </w:r>
      <w:r w:rsidR="00947C4B">
        <w:rPr>
          <w:rFonts w:ascii="Arial" w:hAnsi="Arial" w:cs="Arial"/>
          <w:sz w:val="24"/>
          <w:szCs w:val="24"/>
        </w:rPr>
        <w:t xml:space="preserve"> </w:t>
      </w:r>
      <w:r w:rsidR="00CF2BE5" w:rsidRPr="00E93179">
        <w:rPr>
          <w:rFonts w:ascii="Arial" w:hAnsi="Arial" w:cs="Arial"/>
          <w:sz w:val="24"/>
          <w:szCs w:val="24"/>
        </w:rPr>
        <w:t>in line with the approach taken in the Equity Definitions VE</w:t>
      </w:r>
      <w:r w:rsidR="00C61CA1" w:rsidRPr="00E93179">
        <w:rPr>
          <w:rFonts w:ascii="Arial" w:hAnsi="Arial" w:cs="Arial"/>
          <w:sz w:val="24"/>
          <w:szCs w:val="24"/>
        </w:rPr>
        <w:t xml:space="preserve">. </w:t>
      </w:r>
      <w:r w:rsidR="00AE264D" w:rsidRPr="00E93179">
        <w:rPr>
          <w:rFonts w:ascii="Arial" w:hAnsi="Arial" w:cs="Arial"/>
          <w:sz w:val="24"/>
          <w:szCs w:val="24"/>
        </w:rPr>
        <w:t>Th</w:t>
      </w:r>
      <w:r w:rsidR="00E87388" w:rsidRPr="00E93179">
        <w:rPr>
          <w:rFonts w:ascii="Arial" w:hAnsi="Arial" w:cs="Arial"/>
          <w:sz w:val="24"/>
          <w:szCs w:val="24"/>
        </w:rPr>
        <w:t>e</w:t>
      </w:r>
      <w:r w:rsidR="003C1555">
        <w:rPr>
          <w:rFonts w:ascii="Arial" w:hAnsi="Arial" w:cs="Arial"/>
          <w:sz w:val="24"/>
          <w:szCs w:val="24"/>
        </w:rPr>
        <w:t xml:space="preserve"> features </w:t>
      </w:r>
      <w:r w:rsidR="00CE77BE">
        <w:rPr>
          <w:rFonts w:ascii="Arial" w:hAnsi="Arial" w:cs="Arial"/>
          <w:sz w:val="24"/>
          <w:szCs w:val="24"/>
        </w:rPr>
        <w:t>introduced</w:t>
      </w:r>
      <w:r w:rsidR="003C1555">
        <w:rPr>
          <w:rFonts w:ascii="Arial" w:hAnsi="Arial" w:cs="Arial"/>
          <w:sz w:val="24"/>
          <w:szCs w:val="24"/>
        </w:rPr>
        <w:t xml:space="preserve"> in v2.0 of the Equity Definitions VE are</w:t>
      </w:r>
      <w:r w:rsidR="001E2999" w:rsidRPr="00E93179">
        <w:rPr>
          <w:rFonts w:ascii="Arial" w:hAnsi="Arial" w:cs="Arial"/>
          <w:sz w:val="24"/>
          <w:szCs w:val="24"/>
        </w:rPr>
        <w:t xml:space="preserve"> </w:t>
      </w:r>
      <w:r w:rsidR="00AE264D" w:rsidRPr="00E93179">
        <w:rPr>
          <w:rFonts w:ascii="Arial" w:hAnsi="Arial" w:cs="Arial"/>
          <w:b/>
          <w:bCs/>
          <w:sz w:val="24"/>
          <w:szCs w:val="24"/>
        </w:rPr>
        <w:t>industry-standard methods</w:t>
      </w:r>
      <w:r w:rsidR="00AE264D" w:rsidRPr="00E93179">
        <w:rPr>
          <w:rFonts w:ascii="Arial" w:hAnsi="Arial" w:cs="Arial"/>
          <w:sz w:val="24"/>
          <w:szCs w:val="24"/>
        </w:rPr>
        <w:t xml:space="preserve"> of catering for index events, </w:t>
      </w:r>
      <w:r w:rsidR="007B1425">
        <w:rPr>
          <w:rFonts w:ascii="Arial" w:hAnsi="Arial" w:cs="Arial"/>
          <w:sz w:val="24"/>
          <w:szCs w:val="24"/>
        </w:rPr>
        <w:t xml:space="preserve">single </w:t>
      </w:r>
      <w:r w:rsidR="00AE264D" w:rsidRPr="00E93179">
        <w:rPr>
          <w:rFonts w:ascii="Arial" w:hAnsi="Arial" w:cs="Arial"/>
          <w:sz w:val="24"/>
          <w:szCs w:val="24"/>
        </w:rPr>
        <w:t xml:space="preserve">share </w:t>
      </w:r>
      <w:r w:rsidR="007B1425">
        <w:rPr>
          <w:rFonts w:ascii="Arial" w:hAnsi="Arial" w:cs="Arial"/>
          <w:sz w:val="24"/>
          <w:szCs w:val="24"/>
        </w:rPr>
        <w:t xml:space="preserve">and basket </w:t>
      </w:r>
      <w:r w:rsidR="00AE264D" w:rsidRPr="00E93179">
        <w:rPr>
          <w:rFonts w:ascii="Arial" w:hAnsi="Arial" w:cs="Arial"/>
          <w:sz w:val="24"/>
          <w:szCs w:val="24"/>
        </w:rPr>
        <w:t xml:space="preserve">valuation mechanics, Depository Receipts mechanics, and benchmark </w:t>
      </w:r>
      <w:r w:rsidR="00AA6A25">
        <w:rPr>
          <w:rFonts w:ascii="Arial" w:hAnsi="Arial" w:cs="Arial"/>
          <w:sz w:val="24"/>
          <w:szCs w:val="24"/>
        </w:rPr>
        <w:t xml:space="preserve">regulatory </w:t>
      </w:r>
      <w:r w:rsidR="00AE264D" w:rsidRPr="00E93179">
        <w:rPr>
          <w:rFonts w:ascii="Arial" w:hAnsi="Arial" w:cs="Arial"/>
          <w:sz w:val="24"/>
          <w:szCs w:val="24"/>
        </w:rPr>
        <w:t>frameworks</w:t>
      </w:r>
      <w:r w:rsidR="00E87388" w:rsidRPr="00E93179">
        <w:rPr>
          <w:rFonts w:ascii="Arial" w:hAnsi="Arial" w:cs="Arial"/>
          <w:sz w:val="24"/>
          <w:szCs w:val="24"/>
        </w:rPr>
        <w:t>.</w:t>
      </w:r>
      <w:r w:rsidR="00D83699" w:rsidRPr="00E93179">
        <w:rPr>
          <w:rFonts w:ascii="Arial" w:hAnsi="Arial" w:cs="Arial"/>
          <w:sz w:val="24"/>
          <w:szCs w:val="24"/>
        </w:rPr>
        <w:t xml:space="preserve"> These definitions explain </w:t>
      </w:r>
      <w:r w:rsidR="00D83699" w:rsidRPr="00E93179">
        <w:rPr>
          <w:rFonts w:ascii="Arial" w:hAnsi="Arial" w:cs="Arial"/>
          <w:i/>
          <w:iCs/>
          <w:sz w:val="24"/>
          <w:szCs w:val="24"/>
        </w:rPr>
        <w:t>what the provision is meant to achieve</w:t>
      </w:r>
      <w:r w:rsidR="00D83699" w:rsidRPr="00E93179">
        <w:rPr>
          <w:rFonts w:ascii="Arial" w:hAnsi="Arial" w:cs="Arial"/>
          <w:sz w:val="24"/>
          <w:szCs w:val="24"/>
        </w:rPr>
        <w:t xml:space="preserve">, </w:t>
      </w:r>
      <w:r w:rsidR="00D83699" w:rsidRPr="00E93179">
        <w:rPr>
          <w:rFonts w:ascii="Arial" w:hAnsi="Arial" w:cs="Arial"/>
          <w:i/>
          <w:iCs/>
          <w:sz w:val="24"/>
          <w:szCs w:val="24"/>
        </w:rPr>
        <w:t>why it exists</w:t>
      </w:r>
      <w:r w:rsidR="00D83699" w:rsidRPr="00E93179">
        <w:rPr>
          <w:rFonts w:ascii="Arial" w:hAnsi="Arial" w:cs="Arial"/>
          <w:sz w:val="24"/>
          <w:szCs w:val="24"/>
        </w:rPr>
        <w:t xml:space="preserve">, and </w:t>
      </w:r>
      <w:r w:rsidR="00D83699" w:rsidRPr="00E93179">
        <w:rPr>
          <w:rFonts w:ascii="Arial" w:hAnsi="Arial" w:cs="Arial"/>
          <w:i/>
          <w:iCs/>
          <w:sz w:val="24"/>
          <w:szCs w:val="24"/>
        </w:rPr>
        <w:t>how it behaves contractually</w:t>
      </w:r>
      <w:r w:rsidR="00D83699" w:rsidRPr="00E93179">
        <w:rPr>
          <w:rFonts w:ascii="Arial" w:hAnsi="Arial" w:cs="Arial"/>
          <w:sz w:val="24"/>
          <w:szCs w:val="24"/>
        </w:rPr>
        <w:t>.</w:t>
      </w:r>
    </w:p>
    <w:p w14:paraId="6C91BAAF" w14:textId="77777777" w:rsidR="00A97BBD" w:rsidRPr="00E93179" w:rsidRDefault="00A97BBD" w:rsidP="00A97BBD">
      <w:pPr>
        <w:rPr>
          <w:rFonts w:ascii="Arial" w:hAnsi="Arial" w:cs="Arial"/>
          <w:color w:val="000000"/>
        </w:rPr>
      </w:pPr>
    </w:p>
    <w:p w14:paraId="3820C5BB" w14:textId="6BE10297" w:rsidR="00E4765E" w:rsidRPr="00E93179" w:rsidRDefault="00A97BBD" w:rsidP="00A97BBD">
      <w:pPr>
        <w:rPr>
          <w:rFonts w:ascii="Arial" w:hAnsi="Arial" w:cs="Arial"/>
          <w:b/>
          <w:bCs/>
          <w:color w:val="FF3737"/>
        </w:rPr>
      </w:pPr>
      <w:r w:rsidRPr="00E93179">
        <w:rPr>
          <w:rFonts w:ascii="Arial" w:hAnsi="Arial" w:cs="Arial"/>
          <w:b/>
          <w:bCs/>
          <w:color w:val="FF3737"/>
        </w:rPr>
        <w:t>Please note that these elements are optional</w:t>
      </w:r>
      <w:r w:rsidR="00FD3540">
        <w:rPr>
          <w:rFonts w:ascii="Arial" w:hAnsi="Arial" w:cs="Arial"/>
          <w:b/>
          <w:bCs/>
          <w:color w:val="FF3737"/>
        </w:rPr>
        <w:t xml:space="preserve"> for the parties to elect in the transaction documentation</w:t>
      </w:r>
      <w:r w:rsidRPr="00E93179">
        <w:rPr>
          <w:rFonts w:ascii="Arial" w:hAnsi="Arial" w:cs="Arial"/>
          <w:b/>
          <w:bCs/>
          <w:color w:val="FF3737"/>
        </w:rPr>
        <w:t>. If they are not specified, the corresponding features will be considered not applicable.</w:t>
      </w:r>
    </w:p>
    <w:p w14:paraId="2D82D4CF" w14:textId="77777777" w:rsidR="00E71A67" w:rsidRDefault="00E71A67" w:rsidP="00E71A67">
      <w:pPr>
        <w:rPr>
          <w:rFonts w:ascii="Aptos" w:hAnsi="Aptos"/>
          <w:b/>
          <w:bCs/>
          <w:color w:val="EE0000"/>
        </w:rPr>
      </w:pPr>
    </w:p>
    <w:p w14:paraId="164879F5" w14:textId="77777777" w:rsidR="00E71A67" w:rsidRDefault="00E71A67" w:rsidP="00E71A67">
      <w:pPr>
        <w:rPr>
          <w:rFonts w:ascii="Aptos" w:hAnsi="Aptos"/>
          <w:b/>
          <w:bCs/>
          <w:color w:val="EE0000"/>
        </w:rPr>
      </w:pPr>
    </w:p>
    <w:p w14:paraId="15691D0B" w14:textId="77777777" w:rsidR="00E71A67" w:rsidRDefault="00E71A67" w:rsidP="00E71A67">
      <w:pPr>
        <w:rPr>
          <w:rFonts w:ascii="Aptos" w:hAnsi="Aptos"/>
          <w:b/>
          <w:bCs/>
          <w:color w:val="EE0000"/>
        </w:rPr>
      </w:pPr>
    </w:p>
    <w:p w14:paraId="0CA02273" w14:textId="77777777" w:rsidR="00185A42" w:rsidRDefault="00185A42" w:rsidP="00E71A67">
      <w:pPr>
        <w:rPr>
          <w:rFonts w:ascii="Aptos" w:hAnsi="Aptos"/>
          <w:b/>
          <w:bCs/>
          <w:color w:val="EE0000"/>
        </w:rPr>
      </w:pPr>
    </w:p>
    <w:p w14:paraId="62DC6969" w14:textId="77777777" w:rsidR="00185A42" w:rsidRDefault="00185A42" w:rsidP="00E71A67">
      <w:pPr>
        <w:rPr>
          <w:rFonts w:ascii="Aptos" w:hAnsi="Aptos"/>
          <w:b/>
          <w:bCs/>
          <w:color w:val="EE0000"/>
        </w:rPr>
      </w:pPr>
    </w:p>
    <w:p w14:paraId="55EC15C8" w14:textId="2FAD1DAB" w:rsidR="00E4765E" w:rsidRDefault="00E71A67">
      <w:pPr>
        <w:rPr>
          <w:rFonts w:ascii="Aptos" w:hAnsi="Aptos"/>
          <w:b/>
          <w:bCs/>
          <w:color w:val="EE0000"/>
        </w:rPr>
      </w:pPr>
      <w:r w:rsidRPr="00700F0C">
        <w:rPr>
          <w:rFonts w:ascii="Aptos" w:hAnsi="Aptos"/>
          <w:b/>
          <w:bCs/>
          <w:color w:val="EE0000"/>
          <w:u w:val="single"/>
        </w:rPr>
        <w:t>Disclaimer</w:t>
      </w:r>
      <w:r w:rsidRPr="00E71A67">
        <w:rPr>
          <w:rFonts w:ascii="Aptos" w:hAnsi="Aptos"/>
          <w:b/>
          <w:bCs/>
          <w:color w:val="EE0000"/>
        </w:rPr>
        <w:br/>
      </w:r>
      <w:r w:rsidR="00204D73" w:rsidRPr="004E64AC">
        <w:rPr>
          <w:rFonts w:ascii="Aptos" w:hAnsi="Aptos"/>
          <w:color w:val="EE0000"/>
        </w:rPr>
        <w:t>This document is provided for the purpose of supporting representation in FpML. It is not intended to constitute, and should not be relied upon as, legal advice, and does not replace or amend the contractual terms of any transaction. Parties should refer to the applicable ISDA documentation and seek their own legal advice where appropriate.</w:t>
      </w:r>
      <w:r w:rsidR="00E4765E">
        <w:rPr>
          <w:rFonts w:ascii="Aptos" w:hAnsi="Aptos"/>
          <w:b/>
          <w:bCs/>
          <w:color w:val="EE0000"/>
        </w:rPr>
        <w:br w:type="page"/>
      </w:r>
    </w:p>
    <w:sdt>
      <w:sdtPr>
        <w:rPr>
          <w:rFonts w:asciiTheme="minorHAnsi" w:eastAsiaTheme="minorEastAsia" w:hAnsiTheme="minorHAnsi" w:cstheme="minorBidi"/>
          <w:color w:val="auto"/>
          <w:kern w:val="2"/>
          <w:sz w:val="24"/>
          <w:szCs w:val="24"/>
          <w14:ligatures w14:val="standardContextual"/>
        </w:rPr>
        <w:id w:val="1628349496"/>
        <w:docPartObj>
          <w:docPartGallery w:val="Table of Contents"/>
          <w:docPartUnique/>
        </w:docPartObj>
      </w:sdtPr>
      <w:sdtEndPr>
        <w:rPr>
          <w:b/>
          <w:bCs/>
          <w:noProof/>
        </w:rPr>
      </w:sdtEndPr>
      <w:sdtContent>
        <w:p w14:paraId="40F258CD" w14:textId="2492D879" w:rsidR="00953944" w:rsidRDefault="00953944">
          <w:pPr>
            <w:pStyle w:val="TOCHeading"/>
          </w:pPr>
          <w:r>
            <w:t>Contents</w:t>
          </w:r>
        </w:p>
        <w:p w14:paraId="3DEA36CD" w14:textId="686F02CF" w:rsidR="00145C7E" w:rsidRDefault="00A17754">
          <w:pPr>
            <w:pStyle w:val="TOC1"/>
            <w:tabs>
              <w:tab w:val="left" w:pos="480"/>
              <w:tab w:val="right" w:leader="dot" w:pos="10070"/>
            </w:tabs>
            <w:rPr>
              <w:rFonts w:eastAsiaTheme="minorEastAsia"/>
              <w:noProof/>
            </w:rPr>
          </w:pPr>
          <w:r>
            <w:fldChar w:fldCharType="begin"/>
          </w:r>
          <w:r>
            <w:instrText xml:space="preserve"> TOC \o "1-1" \h \z \u </w:instrText>
          </w:r>
          <w:r>
            <w:fldChar w:fldCharType="separate"/>
          </w:r>
          <w:hyperlink w:anchor="_Toc223723264" w:history="1">
            <w:r w:rsidR="00145C7E" w:rsidRPr="008D477E">
              <w:rPr>
                <w:rStyle w:val="Hyperlink"/>
                <w:noProof/>
              </w:rPr>
              <w:t>1</w:t>
            </w:r>
            <w:r w:rsidR="00145C7E">
              <w:rPr>
                <w:rFonts w:eastAsiaTheme="minorEastAsia"/>
                <w:noProof/>
              </w:rPr>
              <w:tab/>
            </w:r>
            <w:r w:rsidR="00145C7E" w:rsidRPr="008D477E">
              <w:rPr>
                <w:rStyle w:val="Hyperlink"/>
                <w:noProof/>
              </w:rPr>
              <w:t>Consequences of Non-Commencement or Discontinuance of the Exchange-traded Contract</w:t>
            </w:r>
            <w:r w:rsidR="00145C7E">
              <w:rPr>
                <w:noProof/>
                <w:webHidden/>
              </w:rPr>
              <w:tab/>
            </w:r>
            <w:r w:rsidR="00145C7E">
              <w:rPr>
                <w:noProof/>
                <w:webHidden/>
              </w:rPr>
              <w:fldChar w:fldCharType="begin"/>
            </w:r>
            <w:r w:rsidR="00145C7E">
              <w:rPr>
                <w:noProof/>
                <w:webHidden/>
              </w:rPr>
              <w:instrText xml:space="preserve"> PAGEREF _Toc223723264 \h </w:instrText>
            </w:r>
            <w:r w:rsidR="00145C7E">
              <w:rPr>
                <w:noProof/>
                <w:webHidden/>
              </w:rPr>
            </w:r>
            <w:r w:rsidR="00145C7E">
              <w:rPr>
                <w:noProof/>
                <w:webHidden/>
              </w:rPr>
              <w:fldChar w:fldCharType="separate"/>
            </w:r>
            <w:r w:rsidR="00145C7E">
              <w:rPr>
                <w:noProof/>
                <w:webHidden/>
              </w:rPr>
              <w:t>3</w:t>
            </w:r>
            <w:r w:rsidR="00145C7E">
              <w:rPr>
                <w:noProof/>
                <w:webHidden/>
              </w:rPr>
              <w:fldChar w:fldCharType="end"/>
            </w:r>
          </w:hyperlink>
        </w:p>
        <w:p w14:paraId="5D45352E" w14:textId="70DD0DBB" w:rsidR="00145C7E" w:rsidRDefault="00145C7E">
          <w:pPr>
            <w:pStyle w:val="TOC1"/>
            <w:tabs>
              <w:tab w:val="left" w:pos="480"/>
              <w:tab w:val="right" w:leader="dot" w:pos="10070"/>
            </w:tabs>
            <w:rPr>
              <w:rFonts w:eastAsiaTheme="minorEastAsia"/>
              <w:noProof/>
            </w:rPr>
          </w:pPr>
          <w:hyperlink w:anchor="_Toc223723265" w:history="1">
            <w:r w:rsidRPr="008D477E">
              <w:rPr>
                <w:rStyle w:val="Hyperlink"/>
                <w:noProof/>
              </w:rPr>
              <w:t>2</w:t>
            </w:r>
            <w:r>
              <w:rPr>
                <w:rFonts w:eastAsiaTheme="minorEastAsia"/>
                <w:noProof/>
              </w:rPr>
              <w:tab/>
            </w:r>
            <w:r w:rsidRPr="008D477E">
              <w:rPr>
                <w:rStyle w:val="Hyperlink"/>
                <w:noProof/>
              </w:rPr>
              <w:t>VWAP VE and TWAP VE</w:t>
            </w:r>
            <w:r>
              <w:rPr>
                <w:noProof/>
                <w:webHidden/>
              </w:rPr>
              <w:tab/>
            </w:r>
            <w:r>
              <w:rPr>
                <w:noProof/>
                <w:webHidden/>
              </w:rPr>
              <w:fldChar w:fldCharType="begin"/>
            </w:r>
            <w:r>
              <w:rPr>
                <w:noProof/>
                <w:webHidden/>
              </w:rPr>
              <w:instrText xml:space="preserve"> PAGEREF _Toc223723265 \h </w:instrText>
            </w:r>
            <w:r>
              <w:rPr>
                <w:noProof/>
                <w:webHidden/>
              </w:rPr>
            </w:r>
            <w:r>
              <w:rPr>
                <w:noProof/>
                <w:webHidden/>
              </w:rPr>
              <w:fldChar w:fldCharType="separate"/>
            </w:r>
            <w:r>
              <w:rPr>
                <w:noProof/>
                <w:webHidden/>
              </w:rPr>
              <w:t>6</w:t>
            </w:r>
            <w:r>
              <w:rPr>
                <w:noProof/>
                <w:webHidden/>
              </w:rPr>
              <w:fldChar w:fldCharType="end"/>
            </w:r>
          </w:hyperlink>
        </w:p>
        <w:p w14:paraId="43161654" w14:textId="10988F66" w:rsidR="00145C7E" w:rsidRDefault="00145C7E">
          <w:pPr>
            <w:pStyle w:val="TOC1"/>
            <w:tabs>
              <w:tab w:val="left" w:pos="480"/>
              <w:tab w:val="right" w:leader="dot" w:pos="10070"/>
            </w:tabs>
            <w:rPr>
              <w:rFonts w:eastAsiaTheme="minorEastAsia"/>
              <w:noProof/>
            </w:rPr>
          </w:pPr>
          <w:hyperlink w:anchor="_Toc223723266" w:history="1">
            <w:r w:rsidRPr="008D477E">
              <w:rPr>
                <w:rStyle w:val="Hyperlink"/>
                <w:noProof/>
              </w:rPr>
              <w:t>3</w:t>
            </w:r>
            <w:r>
              <w:rPr>
                <w:rFonts w:eastAsiaTheme="minorEastAsia"/>
                <w:noProof/>
              </w:rPr>
              <w:tab/>
            </w:r>
            <w:r w:rsidRPr="008D477E">
              <w:rPr>
                <w:rStyle w:val="Hyperlink"/>
                <w:noProof/>
              </w:rPr>
              <w:t>Separate Valuation/Combined Calculation</w:t>
            </w:r>
            <w:r>
              <w:rPr>
                <w:noProof/>
                <w:webHidden/>
              </w:rPr>
              <w:tab/>
            </w:r>
            <w:r>
              <w:rPr>
                <w:noProof/>
                <w:webHidden/>
              </w:rPr>
              <w:fldChar w:fldCharType="begin"/>
            </w:r>
            <w:r>
              <w:rPr>
                <w:noProof/>
                <w:webHidden/>
              </w:rPr>
              <w:instrText xml:space="preserve"> PAGEREF _Toc223723266 \h </w:instrText>
            </w:r>
            <w:r>
              <w:rPr>
                <w:noProof/>
                <w:webHidden/>
              </w:rPr>
            </w:r>
            <w:r>
              <w:rPr>
                <w:noProof/>
                <w:webHidden/>
              </w:rPr>
              <w:fldChar w:fldCharType="separate"/>
            </w:r>
            <w:r>
              <w:rPr>
                <w:noProof/>
                <w:webHidden/>
              </w:rPr>
              <w:t>8</w:t>
            </w:r>
            <w:r>
              <w:rPr>
                <w:noProof/>
                <w:webHidden/>
              </w:rPr>
              <w:fldChar w:fldCharType="end"/>
            </w:r>
          </w:hyperlink>
        </w:p>
        <w:p w14:paraId="41636E94" w14:textId="7836ED3F" w:rsidR="00145C7E" w:rsidRDefault="00145C7E">
          <w:pPr>
            <w:pStyle w:val="TOC1"/>
            <w:tabs>
              <w:tab w:val="left" w:pos="480"/>
              <w:tab w:val="right" w:leader="dot" w:pos="10070"/>
            </w:tabs>
            <w:rPr>
              <w:rFonts w:eastAsiaTheme="minorEastAsia"/>
              <w:noProof/>
            </w:rPr>
          </w:pPr>
          <w:hyperlink w:anchor="_Toc223723267" w:history="1">
            <w:r w:rsidRPr="008D477E">
              <w:rPr>
                <w:rStyle w:val="Hyperlink"/>
                <w:noProof/>
              </w:rPr>
              <w:t>4</w:t>
            </w:r>
            <w:r>
              <w:rPr>
                <w:rFonts w:eastAsiaTheme="minorEastAsia"/>
                <w:noProof/>
              </w:rPr>
              <w:tab/>
            </w:r>
            <w:r w:rsidRPr="008D477E">
              <w:rPr>
                <w:rStyle w:val="Hyperlink"/>
                <w:noProof/>
              </w:rPr>
              <w:t>Benchmark Provisions</w:t>
            </w:r>
            <w:r>
              <w:rPr>
                <w:noProof/>
                <w:webHidden/>
              </w:rPr>
              <w:tab/>
            </w:r>
            <w:r>
              <w:rPr>
                <w:noProof/>
                <w:webHidden/>
              </w:rPr>
              <w:fldChar w:fldCharType="begin"/>
            </w:r>
            <w:r>
              <w:rPr>
                <w:noProof/>
                <w:webHidden/>
              </w:rPr>
              <w:instrText xml:space="preserve"> PAGEREF _Toc223723267 \h </w:instrText>
            </w:r>
            <w:r>
              <w:rPr>
                <w:noProof/>
                <w:webHidden/>
              </w:rPr>
            </w:r>
            <w:r>
              <w:rPr>
                <w:noProof/>
                <w:webHidden/>
              </w:rPr>
              <w:fldChar w:fldCharType="separate"/>
            </w:r>
            <w:r>
              <w:rPr>
                <w:noProof/>
                <w:webHidden/>
              </w:rPr>
              <w:t>10</w:t>
            </w:r>
            <w:r>
              <w:rPr>
                <w:noProof/>
                <w:webHidden/>
              </w:rPr>
              <w:fldChar w:fldCharType="end"/>
            </w:r>
          </w:hyperlink>
        </w:p>
        <w:p w14:paraId="1E960A58" w14:textId="066D5044" w:rsidR="00145C7E" w:rsidRDefault="00145C7E">
          <w:pPr>
            <w:pStyle w:val="TOC1"/>
            <w:tabs>
              <w:tab w:val="left" w:pos="480"/>
              <w:tab w:val="right" w:leader="dot" w:pos="10070"/>
            </w:tabs>
            <w:rPr>
              <w:rFonts w:eastAsiaTheme="minorEastAsia"/>
              <w:noProof/>
            </w:rPr>
          </w:pPr>
          <w:hyperlink w:anchor="_Toc223723268" w:history="1">
            <w:r w:rsidRPr="008D477E">
              <w:rPr>
                <w:rStyle w:val="Hyperlink"/>
                <w:noProof/>
              </w:rPr>
              <w:t>5</w:t>
            </w:r>
            <w:r>
              <w:rPr>
                <w:rFonts w:eastAsiaTheme="minorEastAsia"/>
                <w:noProof/>
              </w:rPr>
              <w:tab/>
            </w:r>
            <w:r w:rsidRPr="008D477E">
              <w:rPr>
                <w:rStyle w:val="Hyperlink"/>
                <w:noProof/>
              </w:rPr>
              <w:t>Full DR Lookthrough and Partial DR Lookthrough provisions</w:t>
            </w:r>
            <w:r>
              <w:rPr>
                <w:noProof/>
                <w:webHidden/>
              </w:rPr>
              <w:tab/>
            </w:r>
            <w:r>
              <w:rPr>
                <w:noProof/>
                <w:webHidden/>
              </w:rPr>
              <w:fldChar w:fldCharType="begin"/>
            </w:r>
            <w:r>
              <w:rPr>
                <w:noProof/>
                <w:webHidden/>
              </w:rPr>
              <w:instrText xml:space="preserve"> PAGEREF _Toc223723268 \h </w:instrText>
            </w:r>
            <w:r>
              <w:rPr>
                <w:noProof/>
                <w:webHidden/>
              </w:rPr>
            </w:r>
            <w:r>
              <w:rPr>
                <w:noProof/>
                <w:webHidden/>
              </w:rPr>
              <w:fldChar w:fldCharType="separate"/>
            </w:r>
            <w:r>
              <w:rPr>
                <w:noProof/>
                <w:webHidden/>
              </w:rPr>
              <w:t>12</w:t>
            </w:r>
            <w:r>
              <w:rPr>
                <w:noProof/>
                <w:webHidden/>
              </w:rPr>
              <w:fldChar w:fldCharType="end"/>
            </w:r>
          </w:hyperlink>
        </w:p>
        <w:p w14:paraId="7D179EFE" w14:textId="493A0DB5" w:rsidR="00145C7E" w:rsidRDefault="00145C7E">
          <w:pPr>
            <w:pStyle w:val="TOC1"/>
            <w:tabs>
              <w:tab w:val="left" w:pos="480"/>
              <w:tab w:val="right" w:leader="dot" w:pos="10070"/>
            </w:tabs>
            <w:rPr>
              <w:rFonts w:eastAsiaTheme="minorEastAsia"/>
              <w:noProof/>
            </w:rPr>
          </w:pPr>
          <w:hyperlink w:anchor="_Toc223723269" w:history="1">
            <w:r w:rsidRPr="008D477E">
              <w:rPr>
                <w:rStyle w:val="Hyperlink"/>
                <w:noProof/>
              </w:rPr>
              <w:t>6</w:t>
            </w:r>
            <w:r>
              <w:rPr>
                <w:rFonts w:eastAsiaTheme="minorEastAsia"/>
                <w:noProof/>
              </w:rPr>
              <w:tab/>
            </w:r>
            <w:r w:rsidRPr="008D477E">
              <w:rPr>
                <w:rStyle w:val="Hyperlink"/>
                <w:noProof/>
              </w:rPr>
              <w:t>Appendix</w:t>
            </w:r>
            <w:r>
              <w:rPr>
                <w:noProof/>
                <w:webHidden/>
              </w:rPr>
              <w:tab/>
            </w:r>
            <w:r>
              <w:rPr>
                <w:noProof/>
                <w:webHidden/>
              </w:rPr>
              <w:fldChar w:fldCharType="begin"/>
            </w:r>
            <w:r>
              <w:rPr>
                <w:noProof/>
                <w:webHidden/>
              </w:rPr>
              <w:instrText xml:space="preserve"> PAGEREF _Toc223723269 \h </w:instrText>
            </w:r>
            <w:r>
              <w:rPr>
                <w:noProof/>
                <w:webHidden/>
              </w:rPr>
            </w:r>
            <w:r>
              <w:rPr>
                <w:noProof/>
                <w:webHidden/>
              </w:rPr>
              <w:fldChar w:fldCharType="separate"/>
            </w:r>
            <w:r>
              <w:rPr>
                <w:noProof/>
                <w:webHidden/>
              </w:rPr>
              <w:t>13</w:t>
            </w:r>
            <w:r>
              <w:rPr>
                <w:noProof/>
                <w:webHidden/>
              </w:rPr>
              <w:fldChar w:fldCharType="end"/>
            </w:r>
          </w:hyperlink>
        </w:p>
        <w:p w14:paraId="2C457BC7" w14:textId="0E3B6BFD" w:rsidR="00953944" w:rsidRDefault="00A17754">
          <w:r>
            <w:fldChar w:fldCharType="end"/>
          </w:r>
        </w:p>
      </w:sdtContent>
    </w:sdt>
    <w:p w14:paraId="64FB1E3F" w14:textId="77777777" w:rsidR="00840FFD" w:rsidRDefault="00840FFD">
      <w:pPr>
        <w:rPr>
          <w:b/>
          <w:bCs/>
          <w:noProof/>
          <w:sz w:val="20"/>
          <w:szCs w:val="20"/>
        </w:rPr>
      </w:pPr>
      <w:r>
        <w:rPr>
          <w:b/>
          <w:bCs/>
          <w:noProof/>
          <w:sz w:val="20"/>
          <w:szCs w:val="20"/>
        </w:rPr>
        <w:br w:type="page"/>
      </w:r>
    </w:p>
    <w:p w14:paraId="3D7CBE07" w14:textId="1437612D" w:rsidR="00F24679" w:rsidRPr="003229CE" w:rsidRDefault="00F24679" w:rsidP="005D60D0">
      <w:pPr>
        <w:pStyle w:val="Heading1"/>
        <w:rPr>
          <w:sz w:val="32"/>
          <w:szCs w:val="32"/>
        </w:rPr>
      </w:pPr>
      <w:bookmarkStart w:id="1" w:name="_Toc223723264"/>
      <w:r w:rsidRPr="003229CE">
        <w:rPr>
          <w:sz w:val="32"/>
          <w:szCs w:val="32"/>
        </w:rPr>
        <w:lastRenderedPageBreak/>
        <w:t>Consequences of Non-Commencement or Discontinuance of the Exchange-traded Contract</w:t>
      </w:r>
      <w:bookmarkEnd w:id="1"/>
    </w:p>
    <w:p w14:paraId="0AD8B15F" w14:textId="77777777" w:rsidR="00F648A2" w:rsidRPr="003229CE" w:rsidRDefault="00F24679" w:rsidP="005D60D0">
      <w:pPr>
        <w:pStyle w:val="Heading2"/>
        <w:rPr>
          <w:sz w:val="24"/>
          <w:szCs w:val="24"/>
        </w:rPr>
      </w:pPr>
      <w:r w:rsidRPr="003229CE">
        <w:rPr>
          <w:sz w:val="24"/>
          <w:szCs w:val="24"/>
        </w:rPr>
        <w:t>Equity Definitions VE Confirmation extract:</w:t>
      </w:r>
    </w:p>
    <w:p w14:paraId="584CB9F4" w14:textId="17528D61" w:rsidR="00F24679" w:rsidRPr="003229CE" w:rsidRDefault="00F24679" w:rsidP="00F648A2">
      <w:pPr>
        <w:rPr>
          <w:sz w:val="20"/>
          <w:szCs w:val="20"/>
        </w:rPr>
      </w:pPr>
      <w:r w:rsidRPr="003229CE">
        <w:rPr>
          <w:noProof/>
          <w:sz w:val="20"/>
          <w:szCs w:val="20"/>
        </w:rPr>
        <w:drawing>
          <wp:inline distT="0" distB="0" distL="0" distR="0" wp14:anchorId="1FE62279" wp14:editId="40D5F12A">
            <wp:extent cx="5857592" cy="2245030"/>
            <wp:effectExtent l="19050" t="19050" r="10160" b="22225"/>
            <wp:docPr id="2096127427" name="Picture 6" descr="A screenshot of a computer&#10;&#10;AI-generated content may be incorrect.">
              <a:extLst xmlns:a="http://schemas.openxmlformats.org/drawingml/2006/main">
                <a:ext uri="{FF2B5EF4-FFF2-40B4-BE49-F238E27FC236}">
                  <a16:creationId xmlns:a16="http://schemas.microsoft.com/office/drawing/2014/main" id="{0DB37207-713B-4D1C-B2A7-FFB9293D70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27427" name="Picture 6" descr="A screenshot of a comput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3564" cy="2258817"/>
                    </a:xfrm>
                    <a:prstGeom prst="rect">
                      <a:avLst/>
                    </a:prstGeom>
                    <a:noFill/>
                    <a:ln>
                      <a:solidFill>
                        <a:schemeClr val="accent1"/>
                      </a:solidFill>
                    </a:ln>
                  </pic:spPr>
                </pic:pic>
              </a:graphicData>
            </a:graphic>
          </wp:inline>
        </w:drawing>
      </w:r>
    </w:p>
    <w:p w14:paraId="670350A6" w14:textId="3D4C153E" w:rsidR="00B167A9" w:rsidRPr="00E93179" w:rsidRDefault="00B167A9" w:rsidP="00F648A2">
      <w:pPr>
        <w:rPr>
          <w:rFonts w:ascii="Arial" w:hAnsi="Arial" w:cs="Arial"/>
          <w:sz w:val="21"/>
          <w:szCs w:val="21"/>
        </w:rPr>
      </w:pPr>
      <w:r w:rsidRPr="00E93179">
        <w:rPr>
          <w:rFonts w:ascii="Arial" w:hAnsi="Arial" w:cs="Arial"/>
          <w:b/>
          <w:bCs/>
          <w:sz w:val="21"/>
          <w:szCs w:val="21"/>
        </w:rPr>
        <w:t>Consequences of non</w:t>
      </w:r>
      <w:r w:rsidRPr="00E93179">
        <w:rPr>
          <w:rFonts w:ascii="Arial" w:hAnsi="Arial" w:cs="Arial"/>
          <w:b/>
          <w:bCs/>
          <w:sz w:val="21"/>
          <w:szCs w:val="21"/>
        </w:rPr>
        <w:noBreakHyphen/>
        <w:t>commencement or discontinuance of the exchange</w:t>
      </w:r>
      <w:r w:rsidRPr="00E93179">
        <w:rPr>
          <w:rFonts w:ascii="Arial" w:hAnsi="Arial" w:cs="Arial"/>
          <w:b/>
          <w:bCs/>
          <w:sz w:val="21"/>
          <w:szCs w:val="21"/>
        </w:rPr>
        <w:noBreakHyphen/>
        <w:t>traded contract</w:t>
      </w:r>
      <w:r w:rsidRPr="00E93179">
        <w:rPr>
          <w:rFonts w:ascii="Arial" w:hAnsi="Arial" w:cs="Arial"/>
          <w:sz w:val="21"/>
          <w:szCs w:val="21"/>
        </w:rPr>
        <w:t xml:space="preserve"> used for valuation</w:t>
      </w:r>
      <w:r w:rsidR="000F44D9">
        <w:rPr>
          <w:rFonts w:ascii="Arial" w:hAnsi="Arial" w:cs="Arial"/>
          <w:sz w:val="21"/>
          <w:szCs w:val="21"/>
        </w:rPr>
        <w:t xml:space="preserve"> are </w:t>
      </w:r>
      <w:r w:rsidR="00481648">
        <w:rPr>
          <w:rFonts w:ascii="Arial" w:hAnsi="Arial" w:cs="Arial"/>
          <w:sz w:val="21"/>
          <w:szCs w:val="21"/>
        </w:rPr>
        <w:t xml:space="preserve">expanded </w:t>
      </w:r>
      <w:r w:rsidR="000F44D9">
        <w:rPr>
          <w:rFonts w:ascii="Arial" w:hAnsi="Arial" w:cs="Arial"/>
          <w:sz w:val="21"/>
          <w:szCs w:val="21"/>
        </w:rPr>
        <w:t xml:space="preserve">in v2.0 of the Equity Definitions VE </w:t>
      </w:r>
      <w:r w:rsidR="00481648">
        <w:rPr>
          <w:rFonts w:ascii="Arial" w:hAnsi="Arial" w:cs="Arial"/>
          <w:sz w:val="21"/>
          <w:szCs w:val="21"/>
        </w:rPr>
        <w:t xml:space="preserve">to include two </w:t>
      </w:r>
      <w:r w:rsidR="005B0C7A">
        <w:rPr>
          <w:rFonts w:ascii="Arial" w:hAnsi="Arial" w:cs="Arial"/>
          <w:sz w:val="21"/>
          <w:szCs w:val="21"/>
        </w:rPr>
        <w:t>added</w:t>
      </w:r>
      <w:r w:rsidR="00F7754B">
        <w:rPr>
          <w:rFonts w:ascii="Arial" w:hAnsi="Arial" w:cs="Arial"/>
          <w:sz w:val="21"/>
          <w:szCs w:val="21"/>
        </w:rPr>
        <w:t xml:space="preserve"> consequence</w:t>
      </w:r>
      <w:r w:rsidR="008E1443">
        <w:rPr>
          <w:rFonts w:ascii="Arial" w:hAnsi="Arial" w:cs="Arial"/>
          <w:sz w:val="21"/>
          <w:szCs w:val="21"/>
        </w:rPr>
        <w:t>s, which can also apply to share transactions, in addition to index transactions.</w:t>
      </w:r>
    </w:p>
    <w:p w14:paraId="65F3FF74" w14:textId="77777777" w:rsidR="0089127E" w:rsidRPr="00E93179" w:rsidRDefault="0089127E" w:rsidP="0089127E">
      <w:pPr>
        <w:rPr>
          <w:rFonts w:ascii="Arial" w:hAnsi="Arial" w:cs="Arial"/>
          <w:sz w:val="21"/>
          <w:szCs w:val="21"/>
        </w:rPr>
      </w:pPr>
      <w:r w:rsidRPr="00E93179">
        <w:rPr>
          <w:rFonts w:ascii="Arial" w:hAnsi="Arial" w:cs="Arial"/>
          <w:b/>
          <w:bCs/>
          <w:sz w:val="21"/>
          <w:szCs w:val="21"/>
        </w:rPr>
        <w:t>Business context</w:t>
      </w:r>
    </w:p>
    <w:p w14:paraId="2D1D0A1F" w14:textId="46C06585" w:rsidR="00F26CDF" w:rsidRDefault="00BB7AA3" w:rsidP="00475EB8">
      <w:pPr>
        <w:numPr>
          <w:ilvl w:val="0"/>
          <w:numId w:val="4"/>
        </w:numPr>
        <w:tabs>
          <w:tab w:val="clear" w:pos="720"/>
          <w:tab w:val="num" w:pos="-720"/>
        </w:tabs>
        <w:rPr>
          <w:rFonts w:ascii="Arial" w:hAnsi="Arial" w:cs="Arial"/>
          <w:sz w:val="21"/>
          <w:szCs w:val="21"/>
        </w:rPr>
      </w:pPr>
      <w:r>
        <w:rPr>
          <w:rFonts w:ascii="Arial" w:hAnsi="Arial" w:cs="Arial"/>
          <w:sz w:val="21"/>
          <w:szCs w:val="21"/>
        </w:rPr>
        <w:t>T</w:t>
      </w:r>
      <w:r w:rsidR="0089127E" w:rsidRPr="00E93179">
        <w:rPr>
          <w:rFonts w:ascii="Arial" w:hAnsi="Arial" w:cs="Arial"/>
          <w:sz w:val="21"/>
          <w:szCs w:val="21"/>
        </w:rPr>
        <w:t xml:space="preserve">he 2002 </w:t>
      </w:r>
      <w:r>
        <w:rPr>
          <w:rFonts w:ascii="Arial" w:hAnsi="Arial" w:cs="Arial"/>
          <w:sz w:val="21"/>
          <w:szCs w:val="21"/>
        </w:rPr>
        <w:t>Equity Definitions (published in 2002)</w:t>
      </w:r>
      <w:r w:rsidR="00F26CDF">
        <w:rPr>
          <w:rFonts w:ascii="Arial" w:hAnsi="Arial" w:cs="Arial"/>
          <w:sz w:val="21"/>
          <w:szCs w:val="21"/>
        </w:rPr>
        <w:t xml:space="preserve"> s</w:t>
      </w:r>
      <w:r w:rsidR="00F26CDF" w:rsidRPr="00F26CDF">
        <w:rPr>
          <w:rFonts w:ascii="Arial" w:hAnsi="Arial" w:cs="Arial"/>
          <w:sz w:val="21"/>
          <w:szCs w:val="21"/>
        </w:rPr>
        <w:t>tate</w:t>
      </w:r>
      <w:r w:rsidR="00F26CDF">
        <w:rPr>
          <w:rFonts w:ascii="Arial" w:hAnsi="Arial" w:cs="Arial"/>
          <w:sz w:val="21"/>
          <w:szCs w:val="21"/>
        </w:rPr>
        <w:t>d</w:t>
      </w:r>
      <w:r w:rsidR="00F26CDF" w:rsidRPr="00F26CDF">
        <w:rPr>
          <w:rFonts w:ascii="Arial" w:hAnsi="Arial" w:cs="Arial"/>
          <w:sz w:val="21"/>
          <w:szCs w:val="21"/>
        </w:rPr>
        <w:t xml:space="preserve"> that if no </w:t>
      </w:r>
      <w:r w:rsidR="003B0B6D">
        <w:rPr>
          <w:rFonts w:ascii="Arial" w:hAnsi="Arial" w:cs="Arial"/>
          <w:sz w:val="21"/>
          <w:szCs w:val="21"/>
        </w:rPr>
        <w:t>o</w:t>
      </w:r>
      <w:r w:rsidR="00F26CDF" w:rsidRPr="00F26CDF">
        <w:rPr>
          <w:rFonts w:ascii="Arial" w:hAnsi="Arial" w:cs="Arial"/>
          <w:sz w:val="21"/>
          <w:szCs w:val="21"/>
        </w:rPr>
        <w:t xml:space="preserve">fficial </w:t>
      </w:r>
      <w:r w:rsidR="003B0B6D">
        <w:rPr>
          <w:rFonts w:ascii="Arial" w:hAnsi="Arial" w:cs="Arial"/>
          <w:sz w:val="21"/>
          <w:szCs w:val="21"/>
        </w:rPr>
        <w:t>s</w:t>
      </w:r>
      <w:r w:rsidR="00F26CDF" w:rsidRPr="00F26CDF">
        <w:rPr>
          <w:rFonts w:ascii="Arial" w:hAnsi="Arial" w:cs="Arial"/>
          <w:sz w:val="21"/>
          <w:szCs w:val="21"/>
        </w:rPr>
        <w:t xml:space="preserve">ettlement </w:t>
      </w:r>
      <w:r w:rsidR="003B0B6D">
        <w:rPr>
          <w:rFonts w:ascii="Arial" w:hAnsi="Arial" w:cs="Arial"/>
          <w:sz w:val="21"/>
          <w:szCs w:val="21"/>
        </w:rPr>
        <w:t>p</w:t>
      </w:r>
      <w:r w:rsidR="00F26CDF" w:rsidRPr="00F26CDF">
        <w:rPr>
          <w:rFonts w:ascii="Arial" w:hAnsi="Arial" w:cs="Arial"/>
          <w:sz w:val="21"/>
          <w:szCs w:val="21"/>
        </w:rPr>
        <w:t>rice</w:t>
      </w:r>
      <w:r w:rsidR="003B0B6D">
        <w:rPr>
          <w:rFonts w:ascii="Arial" w:hAnsi="Arial" w:cs="Arial"/>
          <w:sz w:val="21"/>
          <w:szCs w:val="21"/>
        </w:rPr>
        <w:t xml:space="preserve"> of the e</w:t>
      </w:r>
      <w:r w:rsidR="003B0B6D" w:rsidRPr="00F26CDF">
        <w:rPr>
          <w:rFonts w:ascii="Arial" w:hAnsi="Arial" w:cs="Arial"/>
          <w:sz w:val="21"/>
          <w:szCs w:val="21"/>
        </w:rPr>
        <w:t xml:space="preserve">xchange-traded </w:t>
      </w:r>
      <w:r w:rsidR="003B0B6D">
        <w:rPr>
          <w:rFonts w:ascii="Arial" w:hAnsi="Arial" w:cs="Arial"/>
          <w:sz w:val="21"/>
          <w:szCs w:val="21"/>
        </w:rPr>
        <w:t>c</w:t>
      </w:r>
      <w:r w:rsidR="003B0B6D" w:rsidRPr="00F26CDF">
        <w:rPr>
          <w:rFonts w:ascii="Arial" w:hAnsi="Arial" w:cs="Arial"/>
          <w:sz w:val="21"/>
          <w:szCs w:val="21"/>
        </w:rPr>
        <w:t>ontract</w:t>
      </w:r>
      <w:r w:rsidR="00F26CDF" w:rsidRPr="00F26CDF">
        <w:rPr>
          <w:rFonts w:ascii="Arial" w:hAnsi="Arial" w:cs="Arial"/>
          <w:sz w:val="21"/>
          <w:szCs w:val="21"/>
        </w:rPr>
        <w:t xml:space="preserve"> exists because trading in the </w:t>
      </w:r>
      <w:r w:rsidR="00F26CDF">
        <w:rPr>
          <w:rFonts w:ascii="Arial" w:hAnsi="Arial" w:cs="Arial"/>
          <w:sz w:val="21"/>
          <w:szCs w:val="21"/>
        </w:rPr>
        <w:t>e</w:t>
      </w:r>
      <w:r w:rsidR="00F26CDF" w:rsidRPr="00F26CDF">
        <w:rPr>
          <w:rFonts w:ascii="Arial" w:hAnsi="Arial" w:cs="Arial"/>
          <w:sz w:val="21"/>
          <w:szCs w:val="21"/>
        </w:rPr>
        <w:t xml:space="preserve">xchange-traded </w:t>
      </w:r>
      <w:r w:rsidR="00F26CDF">
        <w:rPr>
          <w:rFonts w:ascii="Arial" w:hAnsi="Arial" w:cs="Arial"/>
          <w:sz w:val="21"/>
          <w:szCs w:val="21"/>
        </w:rPr>
        <w:t>c</w:t>
      </w:r>
      <w:r w:rsidR="00F26CDF" w:rsidRPr="00F26CDF">
        <w:rPr>
          <w:rFonts w:ascii="Arial" w:hAnsi="Arial" w:cs="Arial"/>
          <w:sz w:val="21"/>
          <w:szCs w:val="21"/>
        </w:rPr>
        <w:t xml:space="preserve">ontract </w:t>
      </w:r>
      <w:r w:rsidR="00F26CDF" w:rsidRPr="00E71A67">
        <w:rPr>
          <w:rFonts w:ascii="Arial" w:hAnsi="Arial" w:cs="Arial"/>
          <w:b/>
          <w:bCs/>
          <w:sz w:val="21"/>
          <w:szCs w:val="21"/>
        </w:rPr>
        <w:t>never commenced or has been permanently discontinued</w:t>
      </w:r>
      <w:r w:rsidR="00F26CDF" w:rsidRPr="00F26CDF">
        <w:rPr>
          <w:rFonts w:ascii="Arial" w:hAnsi="Arial" w:cs="Arial"/>
          <w:sz w:val="21"/>
          <w:szCs w:val="21"/>
        </w:rPr>
        <w:t xml:space="preserve"> prior to a Valuation Date, the </w:t>
      </w:r>
      <w:r w:rsidR="008502C6">
        <w:rPr>
          <w:rFonts w:ascii="Arial" w:hAnsi="Arial" w:cs="Arial"/>
          <w:sz w:val="21"/>
          <w:szCs w:val="21"/>
        </w:rPr>
        <w:t>o</w:t>
      </w:r>
      <w:r w:rsidR="00F26CDF" w:rsidRPr="00F26CDF">
        <w:rPr>
          <w:rFonts w:ascii="Arial" w:hAnsi="Arial" w:cs="Arial"/>
          <w:sz w:val="21"/>
          <w:szCs w:val="21"/>
        </w:rPr>
        <w:t xml:space="preserve">fficial </w:t>
      </w:r>
      <w:r w:rsidR="008502C6">
        <w:rPr>
          <w:rFonts w:ascii="Arial" w:hAnsi="Arial" w:cs="Arial"/>
          <w:sz w:val="21"/>
          <w:szCs w:val="21"/>
        </w:rPr>
        <w:t>s</w:t>
      </w:r>
      <w:r w:rsidR="00F26CDF" w:rsidRPr="00F26CDF">
        <w:rPr>
          <w:rFonts w:ascii="Arial" w:hAnsi="Arial" w:cs="Arial"/>
          <w:sz w:val="21"/>
          <w:szCs w:val="21"/>
        </w:rPr>
        <w:t xml:space="preserve">ettlement </w:t>
      </w:r>
      <w:r w:rsidR="008502C6">
        <w:rPr>
          <w:rFonts w:ascii="Arial" w:hAnsi="Arial" w:cs="Arial"/>
          <w:sz w:val="21"/>
          <w:szCs w:val="21"/>
        </w:rPr>
        <w:t>p</w:t>
      </w:r>
      <w:r w:rsidR="00F26CDF" w:rsidRPr="00F26CDF">
        <w:rPr>
          <w:rFonts w:ascii="Arial" w:hAnsi="Arial" w:cs="Arial"/>
          <w:sz w:val="21"/>
          <w:szCs w:val="21"/>
        </w:rPr>
        <w:t xml:space="preserve">rice will be the level of the relevant </w:t>
      </w:r>
      <w:r w:rsidR="008502C6">
        <w:rPr>
          <w:rFonts w:ascii="Arial" w:hAnsi="Arial" w:cs="Arial"/>
          <w:sz w:val="21"/>
          <w:szCs w:val="21"/>
        </w:rPr>
        <w:t>i</w:t>
      </w:r>
      <w:r w:rsidR="00F26CDF" w:rsidRPr="00F26CDF">
        <w:rPr>
          <w:rFonts w:ascii="Arial" w:hAnsi="Arial" w:cs="Arial"/>
          <w:sz w:val="21"/>
          <w:szCs w:val="21"/>
        </w:rPr>
        <w:t xml:space="preserve">ndex at the close of the regular trading session on the relevant </w:t>
      </w:r>
      <w:r w:rsidR="008502C6">
        <w:rPr>
          <w:rFonts w:ascii="Arial" w:hAnsi="Arial" w:cs="Arial"/>
          <w:sz w:val="21"/>
          <w:szCs w:val="21"/>
        </w:rPr>
        <w:t>e</w:t>
      </w:r>
      <w:r w:rsidR="00F26CDF" w:rsidRPr="00F26CDF">
        <w:rPr>
          <w:rFonts w:ascii="Arial" w:hAnsi="Arial" w:cs="Arial"/>
          <w:sz w:val="21"/>
          <w:szCs w:val="21"/>
        </w:rPr>
        <w:t xml:space="preserve">xchange on the </w:t>
      </w:r>
      <w:r w:rsidR="008502C6">
        <w:rPr>
          <w:rFonts w:ascii="Arial" w:hAnsi="Arial" w:cs="Arial"/>
          <w:sz w:val="21"/>
          <w:szCs w:val="21"/>
        </w:rPr>
        <w:t>v</w:t>
      </w:r>
      <w:r w:rsidR="00F26CDF" w:rsidRPr="00F26CDF">
        <w:rPr>
          <w:rFonts w:ascii="Arial" w:hAnsi="Arial" w:cs="Arial"/>
          <w:sz w:val="21"/>
          <w:szCs w:val="21"/>
        </w:rPr>
        <w:t xml:space="preserve">aluation </w:t>
      </w:r>
      <w:r w:rsidR="008502C6">
        <w:rPr>
          <w:rFonts w:ascii="Arial" w:hAnsi="Arial" w:cs="Arial"/>
          <w:sz w:val="21"/>
          <w:szCs w:val="21"/>
        </w:rPr>
        <w:t>d</w:t>
      </w:r>
      <w:r w:rsidR="00F26CDF" w:rsidRPr="00F26CDF">
        <w:rPr>
          <w:rFonts w:ascii="Arial" w:hAnsi="Arial" w:cs="Arial"/>
          <w:sz w:val="21"/>
          <w:szCs w:val="21"/>
        </w:rPr>
        <w:t>ate</w:t>
      </w:r>
      <w:r w:rsidR="00210C29">
        <w:rPr>
          <w:rFonts w:ascii="Arial" w:hAnsi="Arial" w:cs="Arial"/>
          <w:sz w:val="21"/>
          <w:szCs w:val="21"/>
        </w:rPr>
        <w:t>.</w:t>
      </w:r>
    </w:p>
    <w:p w14:paraId="19B78E5E" w14:textId="334B0BFE" w:rsidR="00997408" w:rsidRPr="00997408" w:rsidRDefault="005B0C7A" w:rsidP="00475EB8">
      <w:pPr>
        <w:numPr>
          <w:ilvl w:val="0"/>
          <w:numId w:val="4"/>
        </w:numPr>
        <w:tabs>
          <w:tab w:val="clear" w:pos="720"/>
          <w:tab w:val="num" w:pos="-720"/>
        </w:tabs>
        <w:rPr>
          <w:rFonts w:ascii="Arial" w:hAnsi="Arial" w:cs="Arial"/>
          <w:sz w:val="21"/>
          <w:szCs w:val="21"/>
        </w:rPr>
      </w:pPr>
      <w:r>
        <w:rPr>
          <w:rFonts w:ascii="Arial" w:hAnsi="Arial" w:cs="Arial"/>
          <w:sz w:val="21"/>
          <w:szCs w:val="21"/>
        </w:rPr>
        <w:t>Equity</w:t>
      </w:r>
      <w:r w:rsidR="00997408">
        <w:rPr>
          <w:rFonts w:ascii="Arial" w:hAnsi="Arial" w:cs="Arial"/>
          <w:sz w:val="21"/>
          <w:szCs w:val="21"/>
        </w:rPr>
        <w:t xml:space="preserve"> Definitions VE </w:t>
      </w:r>
      <w:r w:rsidR="006238A1">
        <w:rPr>
          <w:rFonts w:ascii="Arial" w:hAnsi="Arial" w:cs="Arial"/>
          <w:sz w:val="21"/>
          <w:szCs w:val="21"/>
        </w:rPr>
        <w:t xml:space="preserve">v2.0 </w:t>
      </w:r>
      <w:r w:rsidR="00997408">
        <w:rPr>
          <w:rFonts w:ascii="Arial" w:hAnsi="Arial" w:cs="Arial"/>
          <w:sz w:val="21"/>
          <w:szCs w:val="21"/>
        </w:rPr>
        <w:t xml:space="preserve">expanded the concept of </w:t>
      </w:r>
      <w:r w:rsidR="00997408" w:rsidRPr="00E71A67">
        <w:rPr>
          <w:rFonts w:ascii="Arial" w:hAnsi="Arial" w:cs="Arial"/>
          <w:b/>
          <w:bCs/>
          <w:sz w:val="21"/>
          <w:szCs w:val="21"/>
        </w:rPr>
        <w:t>futures price valuation to cover share transactions</w:t>
      </w:r>
      <w:r w:rsidR="00997408">
        <w:rPr>
          <w:rFonts w:ascii="Arial" w:hAnsi="Arial" w:cs="Arial"/>
          <w:sz w:val="21"/>
          <w:szCs w:val="21"/>
        </w:rPr>
        <w:t xml:space="preserve">, such that both index transactions and share transactions can reference a futures or options contract for valuation. </w:t>
      </w:r>
    </w:p>
    <w:p w14:paraId="1C5ACAC4" w14:textId="7E2F3E6C" w:rsidR="0089127E" w:rsidRPr="0055115D" w:rsidRDefault="005B0C7A" w:rsidP="00475EB8">
      <w:pPr>
        <w:numPr>
          <w:ilvl w:val="0"/>
          <w:numId w:val="4"/>
        </w:numPr>
        <w:tabs>
          <w:tab w:val="clear" w:pos="720"/>
          <w:tab w:val="num" w:pos="0"/>
        </w:tabs>
        <w:rPr>
          <w:rFonts w:ascii="Arial" w:hAnsi="Arial" w:cs="Arial"/>
          <w:sz w:val="21"/>
          <w:szCs w:val="21"/>
        </w:rPr>
      </w:pPr>
      <w:r w:rsidRPr="0055115D">
        <w:rPr>
          <w:rFonts w:ascii="Arial" w:hAnsi="Arial" w:cs="Arial"/>
          <w:sz w:val="21"/>
          <w:szCs w:val="21"/>
        </w:rPr>
        <w:t>Equity</w:t>
      </w:r>
      <w:r w:rsidR="007641F7" w:rsidRPr="0055115D">
        <w:rPr>
          <w:rFonts w:ascii="Arial" w:hAnsi="Arial" w:cs="Arial"/>
          <w:sz w:val="21"/>
          <w:szCs w:val="21"/>
        </w:rPr>
        <w:t xml:space="preserve"> Definitions VE </w:t>
      </w:r>
      <w:r w:rsidR="006238A1">
        <w:rPr>
          <w:rFonts w:ascii="Arial" w:hAnsi="Arial" w:cs="Arial"/>
          <w:sz w:val="21"/>
          <w:szCs w:val="21"/>
        </w:rPr>
        <w:t xml:space="preserve">v2.0 </w:t>
      </w:r>
      <w:r w:rsidR="006316F4">
        <w:rPr>
          <w:rFonts w:ascii="Arial" w:hAnsi="Arial" w:cs="Arial"/>
          <w:sz w:val="21"/>
          <w:szCs w:val="21"/>
        </w:rPr>
        <w:t xml:space="preserve">provide for </w:t>
      </w:r>
      <w:r w:rsidR="007641F7" w:rsidRPr="0055115D">
        <w:rPr>
          <w:rFonts w:ascii="Arial" w:hAnsi="Arial" w:cs="Arial"/>
          <w:sz w:val="21"/>
          <w:szCs w:val="21"/>
        </w:rPr>
        <w:t>t</w:t>
      </w:r>
      <w:r w:rsidR="00F7754B" w:rsidRPr="0055115D">
        <w:rPr>
          <w:rFonts w:ascii="Arial" w:hAnsi="Arial" w:cs="Arial"/>
          <w:sz w:val="21"/>
          <w:szCs w:val="21"/>
        </w:rPr>
        <w:t xml:space="preserve">wo </w:t>
      </w:r>
      <w:r w:rsidR="0089127E" w:rsidRPr="0055115D">
        <w:rPr>
          <w:rFonts w:ascii="Arial" w:hAnsi="Arial" w:cs="Arial"/>
          <w:sz w:val="21"/>
          <w:szCs w:val="21"/>
        </w:rPr>
        <w:t>new consequence</w:t>
      </w:r>
      <w:r w:rsidR="00F7754B" w:rsidRPr="0055115D">
        <w:rPr>
          <w:rFonts w:ascii="Arial" w:hAnsi="Arial" w:cs="Arial"/>
          <w:sz w:val="21"/>
          <w:szCs w:val="21"/>
        </w:rPr>
        <w:t>s</w:t>
      </w:r>
      <w:r w:rsidR="0089127E" w:rsidRPr="0055115D">
        <w:rPr>
          <w:rFonts w:ascii="Arial" w:hAnsi="Arial" w:cs="Arial"/>
          <w:sz w:val="21"/>
          <w:szCs w:val="21"/>
        </w:rPr>
        <w:t xml:space="preserve"> for situations where the </w:t>
      </w:r>
      <w:r w:rsidR="0089127E" w:rsidRPr="0055115D">
        <w:rPr>
          <w:rFonts w:ascii="Arial" w:hAnsi="Arial" w:cs="Arial"/>
          <w:b/>
          <w:bCs/>
          <w:sz w:val="21"/>
          <w:szCs w:val="21"/>
        </w:rPr>
        <w:t>exchange</w:t>
      </w:r>
      <w:r w:rsidR="0089127E" w:rsidRPr="0055115D">
        <w:rPr>
          <w:rFonts w:ascii="Arial" w:hAnsi="Arial" w:cs="Arial"/>
          <w:b/>
          <w:bCs/>
          <w:sz w:val="21"/>
          <w:szCs w:val="21"/>
        </w:rPr>
        <w:noBreakHyphen/>
        <w:t xml:space="preserve">traded contract does </w:t>
      </w:r>
      <w:r w:rsidR="000943C7">
        <w:rPr>
          <w:rFonts w:ascii="Arial" w:hAnsi="Arial" w:cs="Arial"/>
          <w:b/>
          <w:bCs/>
          <w:sz w:val="21"/>
          <w:szCs w:val="21"/>
        </w:rPr>
        <w:t>“</w:t>
      </w:r>
      <w:r w:rsidR="0089127E" w:rsidRPr="000943C7">
        <w:rPr>
          <w:rFonts w:ascii="Arial" w:hAnsi="Arial" w:cs="Arial"/>
          <w:b/>
          <w:bCs/>
          <w:i/>
          <w:iCs/>
          <w:sz w:val="21"/>
          <w:szCs w:val="21"/>
        </w:rPr>
        <w:t xml:space="preserve">not </w:t>
      </w:r>
      <w:r w:rsidR="0089127E" w:rsidRPr="00C550BD">
        <w:rPr>
          <w:rFonts w:ascii="Arial" w:hAnsi="Arial" w:cs="Arial"/>
          <w:b/>
          <w:bCs/>
          <w:i/>
          <w:iCs/>
          <w:sz w:val="21"/>
          <w:szCs w:val="21"/>
        </w:rPr>
        <w:t>commence</w:t>
      </w:r>
      <w:r w:rsidR="00C550BD">
        <w:rPr>
          <w:rFonts w:ascii="Arial" w:hAnsi="Arial" w:cs="Arial"/>
          <w:b/>
          <w:bCs/>
          <w:i/>
          <w:iCs/>
          <w:sz w:val="21"/>
          <w:szCs w:val="21"/>
        </w:rPr>
        <w:t>”</w:t>
      </w:r>
      <w:r w:rsidR="0089127E" w:rsidRPr="0055115D">
        <w:rPr>
          <w:rFonts w:ascii="Arial" w:hAnsi="Arial" w:cs="Arial"/>
          <w:b/>
          <w:bCs/>
          <w:sz w:val="21"/>
          <w:szCs w:val="21"/>
        </w:rPr>
        <w:t xml:space="preserve"> trading or is </w:t>
      </w:r>
      <w:r w:rsidR="00C550BD">
        <w:rPr>
          <w:rFonts w:ascii="Arial" w:hAnsi="Arial" w:cs="Arial"/>
          <w:b/>
          <w:bCs/>
          <w:sz w:val="21"/>
          <w:szCs w:val="21"/>
        </w:rPr>
        <w:t>“</w:t>
      </w:r>
      <w:r w:rsidR="0089127E" w:rsidRPr="00C550BD">
        <w:rPr>
          <w:rFonts w:ascii="Arial" w:hAnsi="Arial" w:cs="Arial"/>
          <w:b/>
          <w:bCs/>
          <w:i/>
          <w:iCs/>
          <w:sz w:val="21"/>
          <w:szCs w:val="21"/>
        </w:rPr>
        <w:t>discontinued</w:t>
      </w:r>
      <w:r w:rsidR="00C550BD">
        <w:rPr>
          <w:rFonts w:ascii="Arial" w:hAnsi="Arial" w:cs="Arial"/>
          <w:b/>
          <w:bCs/>
          <w:i/>
          <w:iCs/>
          <w:sz w:val="21"/>
          <w:szCs w:val="21"/>
        </w:rPr>
        <w:t>”</w:t>
      </w:r>
      <w:r w:rsidR="0089127E" w:rsidRPr="0055115D">
        <w:rPr>
          <w:rFonts w:ascii="Arial" w:hAnsi="Arial" w:cs="Arial"/>
          <w:sz w:val="21"/>
          <w:szCs w:val="21"/>
        </w:rPr>
        <w:t xml:space="preserve"> before the valuation date.</w:t>
      </w:r>
    </w:p>
    <w:p w14:paraId="62217B92" w14:textId="77777777" w:rsidR="0089127E" w:rsidRPr="00E93179" w:rsidRDefault="0089127E" w:rsidP="00475EB8">
      <w:pPr>
        <w:numPr>
          <w:ilvl w:val="0"/>
          <w:numId w:val="4"/>
        </w:numPr>
        <w:tabs>
          <w:tab w:val="clear" w:pos="720"/>
          <w:tab w:val="num" w:pos="0"/>
        </w:tabs>
        <w:rPr>
          <w:rFonts w:ascii="Arial" w:hAnsi="Arial" w:cs="Arial"/>
          <w:sz w:val="21"/>
          <w:szCs w:val="21"/>
        </w:rPr>
      </w:pPr>
      <w:r w:rsidRPr="00E93179">
        <w:rPr>
          <w:rFonts w:ascii="Arial" w:hAnsi="Arial" w:cs="Arial"/>
          <w:sz w:val="21"/>
          <w:szCs w:val="21"/>
        </w:rPr>
        <w:t xml:space="preserve">Parties can elect between: </w:t>
      </w:r>
    </w:p>
    <w:p w14:paraId="398E7CFC" w14:textId="2570B8CF" w:rsidR="0089127E" w:rsidRPr="00E93179" w:rsidRDefault="0089127E" w:rsidP="00475EB8">
      <w:pPr>
        <w:numPr>
          <w:ilvl w:val="1"/>
          <w:numId w:val="4"/>
        </w:numPr>
        <w:tabs>
          <w:tab w:val="clear" w:pos="1440"/>
          <w:tab w:val="num" w:pos="720"/>
        </w:tabs>
        <w:rPr>
          <w:rFonts w:ascii="Arial" w:hAnsi="Arial" w:cs="Arial"/>
          <w:sz w:val="21"/>
          <w:szCs w:val="21"/>
        </w:rPr>
      </w:pPr>
      <w:r w:rsidRPr="00E93179">
        <w:rPr>
          <w:rFonts w:ascii="Arial" w:hAnsi="Arial" w:cs="Arial"/>
          <w:b/>
          <w:bCs/>
          <w:sz w:val="21"/>
          <w:szCs w:val="21"/>
        </w:rPr>
        <w:t>Cancellation and payment</w:t>
      </w:r>
      <w:r w:rsidRPr="00E93179">
        <w:rPr>
          <w:rFonts w:ascii="Arial" w:hAnsi="Arial" w:cs="Arial"/>
          <w:sz w:val="21"/>
          <w:szCs w:val="21"/>
        </w:rPr>
        <w:t xml:space="preserve"> – trade </w:t>
      </w:r>
      <w:r w:rsidR="00261706">
        <w:rPr>
          <w:rFonts w:ascii="Arial" w:hAnsi="Arial" w:cs="Arial"/>
          <w:sz w:val="21"/>
          <w:szCs w:val="21"/>
        </w:rPr>
        <w:t xml:space="preserve">maturity </w:t>
      </w:r>
      <w:r w:rsidRPr="00E93179">
        <w:rPr>
          <w:rFonts w:ascii="Arial" w:hAnsi="Arial" w:cs="Arial"/>
          <w:sz w:val="21"/>
          <w:szCs w:val="21"/>
        </w:rPr>
        <w:t>is effectively accelerated</w:t>
      </w:r>
      <w:r w:rsidR="00A71033">
        <w:rPr>
          <w:rFonts w:ascii="Arial" w:hAnsi="Arial" w:cs="Arial"/>
          <w:sz w:val="21"/>
          <w:szCs w:val="21"/>
        </w:rPr>
        <w:t xml:space="preserve">, </w:t>
      </w:r>
      <w:r w:rsidRPr="00E93179">
        <w:rPr>
          <w:rFonts w:ascii="Arial" w:hAnsi="Arial" w:cs="Arial"/>
          <w:sz w:val="21"/>
          <w:szCs w:val="21"/>
        </w:rPr>
        <w:t>a final payment</w:t>
      </w:r>
      <w:r w:rsidR="00A71033">
        <w:rPr>
          <w:rFonts w:ascii="Arial" w:hAnsi="Arial" w:cs="Arial"/>
          <w:sz w:val="21"/>
          <w:szCs w:val="21"/>
        </w:rPr>
        <w:t xml:space="preserve"> amount</w:t>
      </w:r>
      <w:r w:rsidRPr="00E93179">
        <w:rPr>
          <w:rFonts w:ascii="Arial" w:hAnsi="Arial" w:cs="Arial"/>
          <w:sz w:val="21"/>
          <w:szCs w:val="21"/>
        </w:rPr>
        <w:t xml:space="preserve"> is </w:t>
      </w:r>
      <w:r w:rsidR="00250E23" w:rsidRPr="00E93179">
        <w:rPr>
          <w:rFonts w:ascii="Arial" w:hAnsi="Arial" w:cs="Arial"/>
          <w:sz w:val="21"/>
          <w:szCs w:val="21"/>
        </w:rPr>
        <w:t>determined</w:t>
      </w:r>
      <w:r w:rsidR="003408CA">
        <w:rPr>
          <w:rFonts w:ascii="Arial" w:hAnsi="Arial" w:cs="Arial"/>
          <w:sz w:val="21"/>
          <w:szCs w:val="21"/>
        </w:rPr>
        <w:t xml:space="preserve"> by calculation agent</w:t>
      </w:r>
      <w:r w:rsidR="00250E23" w:rsidRPr="00E93179">
        <w:rPr>
          <w:rFonts w:ascii="Arial" w:hAnsi="Arial" w:cs="Arial"/>
          <w:sz w:val="21"/>
          <w:szCs w:val="21"/>
        </w:rPr>
        <w:t>,</w:t>
      </w:r>
      <w:r w:rsidR="00A71033">
        <w:rPr>
          <w:rFonts w:ascii="Arial" w:hAnsi="Arial" w:cs="Arial"/>
          <w:sz w:val="21"/>
          <w:szCs w:val="21"/>
        </w:rPr>
        <w:t xml:space="preserve"> and </w:t>
      </w:r>
      <w:r w:rsidR="00233E4D">
        <w:rPr>
          <w:rFonts w:ascii="Arial" w:hAnsi="Arial" w:cs="Arial"/>
          <w:sz w:val="21"/>
          <w:szCs w:val="21"/>
        </w:rPr>
        <w:t xml:space="preserve">a </w:t>
      </w:r>
      <w:r w:rsidR="00A71033">
        <w:rPr>
          <w:rFonts w:ascii="Arial" w:hAnsi="Arial" w:cs="Arial"/>
          <w:sz w:val="21"/>
          <w:szCs w:val="21"/>
        </w:rPr>
        <w:t>final payment</w:t>
      </w:r>
      <w:r w:rsidR="00233E4D">
        <w:rPr>
          <w:rFonts w:ascii="Arial" w:hAnsi="Arial" w:cs="Arial"/>
          <w:sz w:val="21"/>
          <w:szCs w:val="21"/>
        </w:rPr>
        <w:t xml:space="preserve"> is </w:t>
      </w:r>
      <w:r w:rsidR="00B3012E">
        <w:rPr>
          <w:rFonts w:ascii="Arial" w:hAnsi="Arial" w:cs="Arial"/>
          <w:sz w:val="21"/>
          <w:szCs w:val="21"/>
        </w:rPr>
        <w:t>made.</w:t>
      </w:r>
    </w:p>
    <w:p w14:paraId="3EFE2D48" w14:textId="62488E1D" w:rsidR="00F03A3F" w:rsidRPr="00E93179" w:rsidRDefault="0089127E" w:rsidP="00475EB8">
      <w:pPr>
        <w:numPr>
          <w:ilvl w:val="1"/>
          <w:numId w:val="4"/>
        </w:numPr>
        <w:tabs>
          <w:tab w:val="clear" w:pos="1440"/>
          <w:tab w:val="num" w:pos="720"/>
        </w:tabs>
        <w:spacing w:after="200" w:line="276" w:lineRule="auto"/>
        <w:rPr>
          <w:sz w:val="22"/>
          <w:szCs w:val="22"/>
        </w:rPr>
      </w:pPr>
      <w:r w:rsidRPr="00E93179">
        <w:rPr>
          <w:rFonts w:ascii="Arial" w:hAnsi="Arial" w:cs="Arial"/>
          <w:b/>
          <w:bCs/>
          <w:sz w:val="21"/>
          <w:szCs w:val="21"/>
        </w:rPr>
        <w:t>Exchange adjustment</w:t>
      </w:r>
      <w:r w:rsidRPr="00E93179">
        <w:rPr>
          <w:rFonts w:ascii="Arial" w:hAnsi="Arial" w:cs="Arial"/>
          <w:sz w:val="21"/>
          <w:szCs w:val="21"/>
        </w:rPr>
        <w:t xml:space="preserve"> – the calculation agent follows the exchange’s adjustment</w:t>
      </w:r>
      <w:r w:rsidR="00233E4D">
        <w:rPr>
          <w:rFonts w:ascii="Arial" w:hAnsi="Arial" w:cs="Arial"/>
          <w:sz w:val="21"/>
          <w:szCs w:val="21"/>
        </w:rPr>
        <w:t>s made to</w:t>
      </w:r>
      <w:r w:rsidRPr="00E93179">
        <w:rPr>
          <w:rFonts w:ascii="Arial" w:hAnsi="Arial" w:cs="Arial"/>
          <w:sz w:val="21"/>
          <w:szCs w:val="21"/>
        </w:rPr>
        <w:t xml:space="preserve"> the contract and continues the transaction on the adjusted basis</w:t>
      </w:r>
      <w:r w:rsidR="00AD02C8">
        <w:rPr>
          <w:rFonts w:ascii="Arial" w:hAnsi="Arial" w:cs="Arial"/>
          <w:sz w:val="21"/>
          <w:szCs w:val="21"/>
        </w:rPr>
        <w:t xml:space="preserve">, </w:t>
      </w:r>
      <w:r w:rsidR="00041630">
        <w:rPr>
          <w:rFonts w:ascii="Arial" w:hAnsi="Arial" w:cs="Arial"/>
          <w:sz w:val="21"/>
          <w:szCs w:val="21"/>
        </w:rPr>
        <w:t>or the transaction terminates</w:t>
      </w:r>
      <w:r w:rsidR="00BF3D9C">
        <w:rPr>
          <w:rFonts w:ascii="Arial" w:hAnsi="Arial" w:cs="Arial"/>
          <w:sz w:val="21"/>
          <w:szCs w:val="21"/>
        </w:rPr>
        <w:t xml:space="preserve"> (in line with Cancellation and Payment)</w:t>
      </w:r>
      <w:r w:rsidR="00041630">
        <w:rPr>
          <w:rFonts w:ascii="Arial" w:hAnsi="Arial" w:cs="Arial"/>
          <w:sz w:val="21"/>
          <w:szCs w:val="21"/>
        </w:rPr>
        <w:t xml:space="preserve"> if the exchange does not communicate such adjustments </w:t>
      </w:r>
      <w:r w:rsidR="008C21DA">
        <w:rPr>
          <w:rFonts w:ascii="Arial" w:hAnsi="Arial" w:cs="Arial"/>
          <w:sz w:val="21"/>
          <w:szCs w:val="21"/>
        </w:rPr>
        <w:t>with</w:t>
      </w:r>
      <w:r w:rsidR="00041630">
        <w:rPr>
          <w:rFonts w:ascii="Arial" w:hAnsi="Arial" w:cs="Arial"/>
          <w:sz w:val="21"/>
          <w:szCs w:val="21"/>
        </w:rPr>
        <w:t>in a reasonab</w:t>
      </w:r>
      <w:r w:rsidR="00BF3D9C">
        <w:rPr>
          <w:rFonts w:ascii="Arial" w:hAnsi="Arial" w:cs="Arial"/>
          <w:sz w:val="21"/>
          <w:szCs w:val="21"/>
        </w:rPr>
        <w:t xml:space="preserve">le </w:t>
      </w:r>
      <w:r w:rsidR="003408CA">
        <w:rPr>
          <w:rFonts w:ascii="Arial" w:hAnsi="Arial" w:cs="Arial"/>
          <w:sz w:val="21"/>
          <w:szCs w:val="21"/>
        </w:rPr>
        <w:t>period</w:t>
      </w:r>
      <w:r w:rsidRPr="00E93179">
        <w:rPr>
          <w:rFonts w:ascii="Arial" w:hAnsi="Arial" w:cs="Arial"/>
          <w:sz w:val="21"/>
          <w:szCs w:val="21"/>
        </w:rPr>
        <w:t>.</w:t>
      </w:r>
    </w:p>
    <w:p w14:paraId="4A1710CB" w14:textId="1480DB42" w:rsidR="00D85F13" w:rsidRPr="003229CE" w:rsidRDefault="00FF7A47" w:rsidP="00D85F13">
      <w:pPr>
        <w:pStyle w:val="Heading2"/>
        <w:rPr>
          <w:sz w:val="24"/>
          <w:szCs w:val="24"/>
        </w:rPr>
      </w:pPr>
      <w:r w:rsidRPr="003229CE">
        <w:rPr>
          <w:sz w:val="24"/>
          <w:szCs w:val="24"/>
        </w:rPr>
        <w:lastRenderedPageBreak/>
        <w:t xml:space="preserve">FpML </w:t>
      </w:r>
      <w:r w:rsidR="00DE5974" w:rsidRPr="003229CE">
        <w:rPr>
          <w:sz w:val="24"/>
          <w:szCs w:val="24"/>
        </w:rPr>
        <w:t>schema</w:t>
      </w:r>
      <w:r w:rsidRPr="003229CE">
        <w:rPr>
          <w:sz w:val="24"/>
          <w:szCs w:val="24"/>
        </w:rPr>
        <w:t>:</w:t>
      </w:r>
    </w:p>
    <w:p w14:paraId="64D66121" w14:textId="52547EAA" w:rsidR="00055AB0" w:rsidRPr="00675E14" w:rsidRDefault="005F6141" w:rsidP="00055AB0">
      <w:pPr>
        <w:rPr>
          <w:rFonts w:ascii="Arial" w:hAnsi="Arial" w:cs="Arial"/>
          <w:sz w:val="21"/>
          <w:szCs w:val="21"/>
        </w:rPr>
      </w:pPr>
      <w:r w:rsidRPr="00E93179">
        <w:rPr>
          <w:rFonts w:ascii="Arial" w:hAnsi="Arial" w:cs="Arial"/>
          <w:sz w:val="21"/>
          <w:szCs w:val="21"/>
        </w:rPr>
        <w:t xml:space="preserve">A new element </w:t>
      </w:r>
      <w:commentRangeStart w:id="2"/>
      <w:commentRangeStart w:id="3"/>
      <w:r w:rsidRPr="00E93179">
        <w:rPr>
          <w:rFonts w:ascii="Arial" w:hAnsi="Arial" w:cs="Arial"/>
          <w:b/>
          <w:bCs/>
          <w:sz w:val="21"/>
          <w:szCs w:val="21"/>
        </w:rPr>
        <w:t>nonCommencementOrDiscontinuation</w:t>
      </w:r>
      <w:r w:rsidRPr="00E93179">
        <w:rPr>
          <w:rFonts w:ascii="Arial" w:hAnsi="Arial" w:cs="Arial"/>
          <w:sz w:val="21"/>
          <w:szCs w:val="21"/>
        </w:rPr>
        <w:t xml:space="preserve"> </w:t>
      </w:r>
      <w:commentRangeEnd w:id="2"/>
      <w:r w:rsidR="003A1322" w:rsidRPr="00E93179">
        <w:rPr>
          <w:rStyle w:val="CommentReference"/>
          <w:rFonts w:ascii="Arial" w:hAnsi="Arial" w:cs="Arial"/>
          <w:sz w:val="21"/>
          <w:szCs w:val="21"/>
        </w:rPr>
        <w:commentReference w:id="2"/>
      </w:r>
      <w:commentRangeEnd w:id="3"/>
      <w:r w:rsidR="00280B9A" w:rsidRPr="00E93179">
        <w:rPr>
          <w:rStyle w:val="CommentReference"/>
          <w:rFonts w:ascii="Arial" w:hAnsi="Arial" w:cs="Arial"/>
          <w:sz w:val="21"/>
          <w:szCs w:val="21"/>
        </w:rPr>
        <w:commentReference w:id="3"/>
      </w:r>
      <w:r w:rsidRPr="00E93179">
        <w:rPr>
          <w:rFonts w:ascii="Arial" w:hAnsi="Arial" w:cs="Arial"/>
          <w:sz w:val="21"/>
          <w:szCs w:val="21"/>
        </w:rPr>
        <w:t xml:space="preserve">within the </w:t>
      </w:r>
      <w:r w:rsidRPr="00E93179">
        <w:rPr>
          <w:rFonts w:ascii="Arial" w:hAnsi="Arial" w:cs="Arial"/>
          <w:b/>
          <w:bCs/>
          <w:sz w:val="21"/>
          <w:szCs w:val="21"/>
        </w:rPr>
        <w:t>equityValuation &amp; valuationRules</w:t>
      </w:r>
      <w:r w:rsidRPr="00E93179">
        <w:rPr>
          <w:rFonts w:ascii="Arial" w:hAnsi="Arial" w:cs="Arial"/>
          <w:sz w:val="21"/>
          <w:szCs w:val="21"/>
        </w:rPr>
        <w:t xml:space="preserve"> structure.</w:t>
      </w:r>
    </w:p>
    <w:p w14:paraId="2F9FD8C5" w14:textId="332D96B9" w:rsidR="00055AB0" w:rsidRPr="00D859D9" w:rsidRDefault="00055AB0" w:rsidP="00055AB0">
      <w:pPr>
        <w:rPr>
          <w:rStyle w:val="IntenseEmphasis"/>
        </w:rPr>
      </w:pPr>
      <w:r w:rsidRPr="00D859D9">
        <w:rPr>
          <w:rStyle w:val="IntenseEmphasis"/>
        </w:rPr>
        <w:t xml:space="preserve">XAPWG agreed on the </w:t>
      </w:r>
      <w:r w:rsidR="00DA6969">
        <w:rPr>
          <w:rStyle w:val="IntenseEmphasis"/>
        </w:rPr>
        <w:t>selected</w:t>
      </w:r>
      <w:r w:rsidRPr="00D859D9">
        <w:rPr>
          <w:rStyle w:val="IntenseEmphasis"/>
        </w:rPr>
        <w:t xml:space="preserve"> attribute among the following choices –</w:t>
      </w:r>
    </w:p>
    <w:p w14:paraId="0469CF32" w14:textId="4A1D7B44" w:rsidR="00055AB0" w:rsidRPr="00D859D9" w:rsidRDefault="00055AB0" w:rsidP="00475EB8">
      <w:pPr>
        <w:pStyle w:val="ListParagraph"/>
        <w:numPr>
          <w:ilvl w:val="0"/>
          <w:numId w:val="17"/>
        </w:numPr>
        <w:rPr>
          <w:rStyle w:val="IntenseEmphasis"/>
        </w:rPr>
      </w:pPr>
      <w:r w:rsidRPr="00D859D9">
        <w:rPr>
          <w:rStyle w:val="IntenseEmphasis"/>
        </w:rPr>
        <w:t>nonCommencementOrDiscontinuation</w:t>
      </w:r>
    </w:p>
    <w:p w14:paraId="5A17681B" w14:textId="0898C785" w:rsidR="00680404" w:rsidRPr="00A61590" w:rsidRDefault="00466368" w:rsidP="0049395A">
      <w:pPr>
        <w:rPr>
          <w:i/>
          <w:iCs/>
          <w:color w:val="2F5496" w:themeColor="accent1" w:themeShade="BF"/>
        </w:rPr>
      </w:pPr>
      <w:r w:rsidRPr="00D859D9">
        <w:rPr>
          <w:rStyle w:val="IntenseEmphasis"/>
        </w:rPr>
        <w:t>XAP</w:t>
      </w:r>
      <w:r w:rsidR="00055AB0" w:rsidRPr="00D859D9">
        <w:rPr>
          <w:rStyle w:val="IntenseEmphasis"/>
        </w:rPr>
        <w:t xml:space="preserve">WG further </w:t>
      </w:r>
      <w:r w:rsidR="003408CA" w:rsidRPr="00D859D9">
        <w:rPr>
          <w:rStyle w:val="IntenseEmphasis"/>
        </w:rPr>
        <w:t>recommends</w:t>
      </w:r>
      <w:r w:rsidR="00055AB0" w:rsidRPr="00D859D9">
        <w:rPr>
          <w:rStyle w:val="IntenseEmphasis"/>
        </w:rPr>
        <w:t xml:space="preserve"> </w:t>
      </w:r>
      <w:r w:rsidR="00521E8E" w:rsidRPr="00D859D9">
        <w:rPr>
          <w:rStyle w:val="IntenseEmphasis"/>
        </w:rPr>
        <w:t>ensuring</w:t>
      </w:r>
      <w:r w:rsidR="00055AB0" w:rsidRPr="00D859D9">
        <w:rPr>
          <w:rStyle w:val="IntenseEmphasis"/>
        </w:rPr>
        <w:t xml:space="preserve"> that the description makes it explicitly clear - such feature is only applicable for Exchange Traded Contracts valuation purposes.</w:t>
      </w:r>
    </w:p>
    <w:p w14:paraId="4BA5ACE3" w14:textId="77777777" w:rsidR="00A61590" w:rsidRDefault="00A61590" w:rsidP="0049395A">
      <w:pPr>
        <w:rPr>
          <w:rFonts w:ascii="Arial" w:hAnsi="Arial" w:cs="Arial"/>
          <w:sz w:val="21"/>
          <w:szCs w:val="21"/>
        </w:rPr>
      </w:pPr>
    </w:p>
    <w:p w14:paraId="2B6AC5FF" w14:textId="45719201" w:rsidR="0049395A" w:rsidRPr="00E93179" w:rsidRDefault="004F464C" w:rsidP="0049395A">
      <w:pPr>
        <w:rPr>
          <w:rFonts w:ascii="Arial" w:hAnsi="Arial" w:cs="Arial"/>
          <w:sz w:val="21"/>
          <w:szCs w:val="21"/>
        </w:rPr>
      </w:pPr>
      <w:r w:rsidRPr="00E93179">
        <w:rPr>
          <w:rFonts w:ascii="Arial" w:hAnsi="Arial" w:cs="Arial"/>
          <w:sz w:val="21"/>
          <w:szCs w:val="21"/>
        </w:rPr>
        <w:t xml:space="preserve">Close to the choice, as a </w:t>
      </w:r>
      <w:r w:rsidR="00250E23" w:rsidRPr="00E93179">
        <w:rPr>
          <w:rFonts w:ascii="Arial" w:hAnsi="Arial" w:cs="Arial"/>
          <w:sz w:val="21"/>
          <w:szCs w:val="21"/>
        </w:rPr>
        <w:t>sequence</w:t>
      </w:r>
      <w:r w:rsidR="00250E23">
        <w:rPr>
          <w:rFonts w:ascii="Arial" w:hAnsi="Arial" w:cs="Arial"/>
          <w:sz w:val="21"/>
          <w:szCs w:val="21"/>
        </w:rPr>
        <w:t xml:space="preserve"> -</w:t>
      </w:r>
      <w:r w:rsidR="00250E23" w:rsidRPr="00E93179">
        <w:rPr>
          <w:rFonts w:ascii="Arial" w:hAnsi="Arial" w:cs="Arial"/>
          <w:sz w:val="21"/>
          <w:szCs w:val="21"/>
        </w:rPr>
        <w:t xml:space="preserve"> </w:t>
      </w:r>
      <w:r w:rsidR="00250E23">
        <w:rPr>
          <w:rFonts w:ascii="Arial" w:hAnsi="Arial" w:cs="Arial"/>
          <w:sz w:val="21"/>
          <w:szCs w:val="21"/>
        </w:rPr>
        <w:t>(</w:t>
      </w:r>
      <w:r w:rsidR="00250E23" w:rsidRPr="00E93179">
        <w:rPr>
          <w:rFonts w:ascii="Arial" w:hAnsi="Arial" w:cs="Arial"/>
          <w:sz w:val="21"/>
          <w:szCs w:val="21"/>
        </w:rPr>
        <w:t>(</w:t>
      </w:r>
      <w:r w:rsidRPr="00E93179">
        <w:rPr>
          <w:rFonts w:ascii="Arial" w:hAnsi="Arial" w:cs="Arial"/>
          <w:sz w:val="21"/>
          <w:szCs w:val="21"/>
        </w:rPr>
        <w:t>futuresPriceValuation | optionsPriceValuation)?,</w:t>
      </w:r>
      <w:r w:rsidR="00FB61C1">
        <w:rPr>
          <w:rFonts w:ascii="Arial" w:hAnsi="Arial" w:cs="Arial"/>
          <w:sz w:val="21"/>
          <w:szCs w:val="21"/>
        </w:rPr>
        <w:t xml:space="preserve"> </w:t>
      </w:r>
      <w:r w:rsidR="009B6C7D" w:rsidRPr="00E93179">
        <w:rPr>
          <w:rFonts w:ascii="Arial" w:hAnsi="Arial" w:cs="Arial"/>
          <w:sz w:val="21"/>
          <w:szCs w:val="21"/>
        </w:rPr>
        <w:t>n</w:t>
      </w:r>
      <w:r w:rsidRPr="00E93179">
        <w:rPr>
          <w:rFonts w:ascii="Arial" w:hAnsi="Arial" w:cs="Arial"/>
          <w:sz w:val="21"/>
          <w:szCs w:val="21"/>
        </w:rPr>
        <w:t>onCommencementOrDiscontinuation?)</w:t>
      </w:r>
    </w:p>
    <w:p w14:paraId="36A5C26A" w14:textId="23FD0AA2" w:rsidR="00C3394E" w:rsidRPr="003229CE" w:rsidRDefault="00C641BD" w:rsidP="00B1672E">
      <w:pPr>
        <w:ind w:left="576"/>
        <w:rPr>
          <w:sz w:val="20"/>
          <w:szCs w:val="20"/>
        </w:rPr>
      </w:pPr>
      <w:r w:rsidRPr="00C641BD">
        <w:rPr>
          <w:noProof/>
          <w:sz w:val="20"/>
          <w:szCs w:val="20"/>
        </w:rPr>
        <w:drawing>
          <wp:inline distT="0" distB="0" distL="0" distR="0" wp14:anchorId="3D8DA026" wp14:editId="41C0827D">
            <wp:extent cx="1959429" cy="2624724"/>
            <wp:effectExtent l="0" t="0" r="3175" b="4445"/>
            <wp:docPr id="330392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92765" name=""/>
                    <pic:cNvPicPr/>
                  </pic:nvPicPr>
                  <pic:blipFill>
                    <a:blip r:embed="rId16"/>
                    <a:stretch>
                      <a:fillRect/>
                    </a:stretch>
                  </pic:blipFill>
                  <pic:spPr>
                    <a:xfrm>
                      <a:off x="0" y="0"/>
                      <a:ext cx="1968318" cy="2636631"/>
                    </a:xfrm>
                    <a:prstGeom prst="rect">
                      <a:avLst/>
                    </a:prstGeom>
                  </pic:spPr>
                </pic:pic>
              </a:graphicData>
            </a:graphic>
          </wp:inline>
        </w:drawing>
      </w:r>
    </w:p>
    <w:p w14:paraId="67FB4FEA" w14:textId="3D0F73D2" w:rsidR="007E0D79" w:rsidRPr="003229CE" w:rsidRDefault="003F2E74" w:rsidP="005D60D0">
      <w:pPr>
        <w:pStyle w:val="Heading2"/>
        <w:rPr>
          <w:sz w:val="24"/>
          <w:szCs w:val="24"/>
        </w:rPr>
      </w:pPr>
      <w:r w:rsidRPr="003229CE">
        <w:rPr>
          <w:sz w:val="24"/>
          <w:szCs w:val="24"/>
        </w:rPr>
        <w:t>Valid Values</w:t>
      </w:r>
      <w:r w:rsidR="0092651B" w:rsidRPr="003229CE">
        <w:rPr>
          <w:sz w:val="24"/>
          <w:szCs w:val="24"/>
        </w:rPr>
        <w:t>/Enumerations</w:t>
      </w:r>
      <w:r w:rsidR="00167BA2" w:rsidRPr="003229CE">
        <w:rPr>
          <w:sz w:val="24"/>
          <w:szCs w:val="24"/>
          <w:u w:val="single"/>
        </w:rPr>
        <w:t>:</w:t>
      </w:r>
    </w:p>
    <w:p w14:paraId="5597C82E" w14:textId="47FF87F6" w:rsidR="00FF7A47" w:rsidRPr="008F7BC2" w:rsidRDefault="005C3ED1" w:rsidP="00475EB8">
      <w:pPr>
        <w:numPr>
          <w:ilvl w:val="1"/>
          <w:numId w:val="6"/>
        </w:numPr>
        <w:rPr>
          <w:rFonts w:ascii="Arial" w:hAnsi="Arial" w:cs="Arial"/>
          <w:sz w:val="21"/>
          <w:szCs w:val="21"/>
        </w:rPr>
      </w:pPr>
      <w:r w:rsidRPr="008F7BC2">
        <w:rPr>
          <w:rFonts w:ascii="Arial" w:hAnsi="Arial" w:cs="Arial"/>
          <w:sz w:val="21"/>
          <w:szCs w:val="21"/>
        </w:rPr>
        <w:t>C</w:t>
      </w:r>
      <w:r w:rsidR="00FF7A47" w:rsidRPr="008F7BC2">
        <w:rPr>
          <w:rFonts w:ascii="Arial" w:hAnsi="Arial" w:cs="Arial"/>
          <w:sz w:val="21"/>
          <w:szCs w:val="21"/>
        </w:rPr>
        <w:t>ancellationAndPayment</w:t>
      </w:r>
    </w:p>
    <w:p w14:paraId="1DD6858B" w14:textId="25C389D0" w:rsidR="00F2560D" w:rsidRDefault="005C3ED1" w:rsidP="00475EB8">
      <w:pPr>
        <w:numPr>
          <w:ilvl w:val="1"/>
          <w:numId w:val="6"/>
        </w:numPr>
        <w:rPr>
          <w:rFonts w:ascii="Arial" w:hAnsi="Arial" w:cs="Arial"/>
          <w:sz w:val="21"/>
          <w:szCs w:val="21"/>
        </w:rPr>
      </w:pPr>
      <w:r w:rsidRPr="008F7BC2">
        <w:rPr>
          <w:rFonts w:ascii="Arial" w:hAnsi="Arial" w:cs="Arial"/>
          <w:sz w:val="21"/>
          <w:szCs w:val="21"/>
        </w:rPr>
        <w:t>E</w:t>
      </w:r>
      <w:r w:rsidR="00FF7A47" w:rsidRPr="008F7BC2">
        <w:rPr>
          <w:rFonts w:ascii="Arial" w:hAnsi="Arial" w:cs="Arial"/>
          <w:sz w:val="21"/>
          <w:szCs w:val="21"/>
        </w:rPr>
        <w:t>xchangeAdjustment</w:t>
      </w:r>
    </w:p>
    <w:p w14:paraId="294F1E2E" w14:textId="2E6199CF" w:rsidR="006547F3" w:rsidRPr="008F7BC2" w:rsidRDefault="006547F3" w:rsidP="00693859">
      <w:pPr>
        <w:ind w:left="720"/>
        <w:rPr>
          <w:rFonts w:ascii="Arial" w:hAnsi="Arial" w:cs="Arial"/>
          <w:sz w:val="21"/>
          <w:szCs w:val="21"/>
        </w:rPr>
      </w:pPr>
      <w:r w:rsidRPr="006279F2">
        <w:rPr>
          <w:rFonts w:ascii="Arial" w:hAnsi="Arial" w:cs="Arial"/>
          <w:sz w:val="21"/>
          <w:szCs w:val="21"/>
          <w:u w:val="single"/>
        </w:rPr>
        <w:lastRenderedPageBreak/>
        <w:t>Example</w:t>
      </w:r>
      <w:r w:rsidR="006279F2">
        <w:rPr>
          <w:rFonts w:ascii="Arial" w:hAnsi="Arial" w:cs="Arial"/>
          <w:sz w:val="21"/>
          <w:szCs w:val="21"/>
        </w:rPr>
        <w:t>:</w:t>
      </w:r>
      <w:r w:rsidR="006279F2" w:rsidRPr="006279F2">
        <w:rPr>
          <w:noProof/>
        </w:rPr>
        <w:t xml:space="preserve"> </w:t>
      </w:r>
      <w:r w:rsidR="006279F2" w:rsidRPr="006279F2">
        <w:rPr>
          <w:rFonts w:ascii="Arial" w:hAnsi="Arial" w:cs="Arial"/>
          <w:noProof/>
          <w:sz w:val="21"/>
          <w:szCs w:val="21"/>
        </w:rPr>
        <w:drawing>
          <wp:inline distT="0" distB="0" distL="0" distR="0" wp14:anchorId="5CEBD6B6" wp14:editId="1E4784C5">
            <wp:extent cx="4718649" cy="2697775"/>
            <wp:effectExtent l="19050" t="19050" r="25400" b="26670"/>
            <wp:docPr id="1219847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847344" name=""/>
                    <pic:cNvPicPr/>
                  </pic:nvPicPr>
                  <pic:blipFill>
                    <a:blip r:embed="rId17"/>
                    <a:stretch>
                      <a:fillRect/>
                    </a:stretch>
                  </pic:blipFill>
                  <pic:spPr>
                    <a:xfrm>
                      <a:off x="0" y="0"/>
                      <a:ext cx="4734198" cy="2706665"/>
                    </a:xfrm>
                    <a:prstGeom prst="rect">
                      <a:avLst/>
                    </a:prstGeom>
                    <a:ln>
                      <a:solidFill>
                        <a:schemeClr val="accent1"/>
                      </a:solidFill>
                    </a:ln>
                  </pic:spPr>
                </pic:pic>
              </a:graphicData>
            </a:graphic>
          </wp:inline>
        </w:drawing>
      </w:r>
    </w:p>
    <w:p w14:paraId="5C25B1D4" w14:textId="72E6632D" w:rsidR="00FF7A47" w:rsidRPr="003229CE" w:rsidRDefault="009706D8" w:rsidP="005D60D0">
      <w:pPr>
        <w:pStyle w:val="Heading2"/>
        <w:rPr>
          <w:sz w:val="24"/>
          <w:szCs w:val="24"/>
        </w:rPr>
      </w:pPr>
      <w:r w:rsidRPr="003229CE">
        <w:rPr>
          <w:sz w:val="24"/>
          <w:szCs w:val="24"/>
        </w:rPr>
        <w:t>Applicability Condition</w:t>
      </w:r>
    </w:p>
    <w:p w14:paraId="227DD313" w14:textId="731B2BFA" w:rsidR="008F1DFA" w:rsidRPr="008F7BC2" w:rsidRDefault="008F1DFA" w:rsidP="005A62FA">
      <w:pPr>
        <w:rPr>
          <w:rFonts w:ascii="Arial" w:hAnsi="Arial" w:cs="Arial"/>
          <w:sz w:val="21"/>
          <w:szCs w:val="21"/>
        </w:rPr>
      </w:pPr>
      <w:r w:rsidRPr="008F7BC2">
        <w:rPr>
          <w:rFonts w:ascii="Arial" w:hAnsi="Arial" w:cs="Arial"/>
          <w:sz w:val="21"/>
          <w:szCs w:val="21"/>
        </w:rPr>
        <w:t>Only applicable when:</w:t>
      </w:r>
    </w:p>
    <w:p w14:paraId="23F239C8" w14:textId="65528628" w:rsidR="00903D00" w:rsidRPr="008F7BC2" w:rsidRDefault="00363054" w:rsidP="0061697B">
      <w:pPr>
        <w:ind w:left="360"/>
        <w:rPr>
          <w:rFonts w:ascii="Arial" w:hAnsi="Arial" w:cs="Arial"/>
          <w:sz w:val="21"/>
          <w:szCs w:val="21"/>
        </w:rPr>
      </w:pPr>
      <w:r w:rsidRPr="008F7BC2">
        <w:rPr>
          <w:rFonts w:ascii="Arial" w:hAnsi="Arial" w:cs="Arial"/>
          <w:sz w:val="21"/>
          <w:szCs w:val="21"/>
        </w:rPr>
        <w:t xml:space="preserve">EITHER </w:t>
      </w:r>
      <w:r w:rsidR="008F1DFA" w:rsidRPr="008F7BC2">
        <w:rPr>
          <w:rFonts w:ascii="Arial" w:hAnsi="Arial" w:cs="Arial"/>
          <w:b/>
          <w:bCs/>
          <w:sz w:val="21"/>
          <w:szCs w:val="21"/>
        </w:rPr>
        <w:t>futuresPriceValuation</w:t>
      </w:r>
      <w:r w:rsidR="008F1DFA" w:rsidRPr="008F7BC2">
        <w:rPr>
          <w:rFonts w:ascii="Arial" w:hAnsi="Arial" w:cs="Arial"/>
          <w:sz w:val="21"/>
          <w:szCs w:val="21"/>
        </w:rPr>
        <w:t xml:space="preserve"> = true</w:t>
      </w:r>
      <w:r w:rsidR="005D7368" w:rsidRPr="008F7BC2">
        <w:rPr>
          <w:rFonts w:ascii="Arial" w:hAnsi="Arial" w:cs="Arial"/>
          <w:sz w:val="21"/>
          <w:szCs w:val="21"/>
        </w:rPr>
        <w:t xml:space="preserve"> </w:t>
      </w:r>
      <w:r w:rsidR="008F1DFA" w:rsidRPr="008F7BC2">
        <w:rPr>
          <w:rFonts w:ascii="Arial" w:hAnsi="Arial" w:cs="Arial"/>
          <w:sz w:val="21"/>
          <w:szCs w:val="21"/>
        </w:rPr>
        <w:t>OR</w:t>
      </w:r>
      <w:r w:rsidR="0061697B" w:rsidRPr="008F7BC2">
        <w:rPr>
          <w:rFonts w:ascii="Arial" w:hAnsi="Arial" w:cs="Arial"/>
          <w:sz w:val="21"/>
          <w:szCs w:val="21"/>
        </w:rPr>
        <w:t xml:space="preserve"> </w:t>
      </w:r>
      <w:r w:rsidR="008F1DFA" w:rsidRPr="008F7BC2">
        <w:rPr>
          <w:rFonts w:ascii="Arial" w:hAnsi="Arial" w:cs="Arial"/>
          <w:b/>
          <w:bCs/>
          <w:sz w:val="21"/>
          <w:szCs w:val="21"/>
        </w:rPr>
        <w:t>optionsPriceValuation</w:t>
      </w:r>
      <w:r w:rsidR="008F1DFA" w:rsidRPr="008F7BC2">
        <w:rPr>
          <w:rFonts w:ascii="Arial" w:hAnsi="Arial" w:cs="Arial"/>
          <w:sz w:val="21"/>
          <w:szCs w:val="21"/>
        </w:rPr>
        <w:t xml:space="preserve"> = true</w:t>
      </w:r>
    </w:p>
    <w:p w14:paraId="0E617DD4" w14:textId="123E4C33" w:rsidR="002A64BF" w:rsidRPr="008F7BC2" w:rsidRDefault="001F0D4A" w:rsidP="001F0D4A">
      <w:r w:rsidRPr="001F0D4A">
        <w:rPr>
          <w:rFonts w:ascii="Arial" w:hAnsi="Arial" w:cs="Arial"/>
          <w:color w:val="000000"/>
          <w:sz w:val="21"/>
        </w:rPr>
        <w:t>New validation rules for business operations are set to be implemented.</w:t>
      </w:r>
    </w:p>
    <w:p w14:paraId="37EAC7A9" w14:textId="6048DB12" w:rsidR="00903D00" w:rsidRPr="003229CE" w:rsidRDefault="00F003AE" w:rsidP="00903D00">
      <w:pPr>
        <w:pStyle w:val="Heading2"/>
        <w:rPr>
          <w:sz w:val="24"/>
          <w:szCs w:val="24"/>
        </w:rPr>
      </w:pPr>
      <w:r w:rsidRPr="003229CE">
        <w:rPr>
          <w:sz w:val="24"/>
          <w:szCs w:val="24"/>
        </w:rPr>
        <w:t>Product scope</w:t>
      </w:r>
      <w:r w:rsidR="00903D00" w:rsidRPr="003229CE">
        <w:rPr>
          <w:sz w:val="24"/>
          <w:szCs w:val="24"/>
        </w:rPr>
        <w:t>:</w:t>
      </w:r>
    </w:p>
    <w:p w14:paraId="46182FD5" w14:textId="64584359" w:rsidR="00167BA2" w:rsidRPr="008F7BC2" w:rsidRDefault="00D06C05" w:rsidP="00A24556">
      <w:r w:rsidRPr="00D06C05">
        <w:rPr>
          <w:rFonts w:ascii="Arial" w:hAnsi="Arial" w:cs="Arial"/>
          <w:color w:val="000000"/>
          <w:sz w:val="21"/>
        </w:rPr>
        <w:t>The phrase nonCommencementOrDiscontinuation applies to all equity products because each one has its own valuation mechanism.</w:t>
      </w:r>
      <w:r>
        <w:rPr>
          <w:rFonts w:ascii="Arial" w:hAnsi="Arial" w:cs="Arial"/>
          <w:color w:val="000000"/>
          <w:sz w:val="21"/>
        </w:rPr>
        <w:t xml:space="preserve"> </w:t>
      </w:r>
      <w:r w:rsidR="00A24556" w:rsidRPr="00A24556">
        <w:rPr>
          <w:rFonts w:ascii="Arial" w:hAnsi="Arial" w:cs="Arial"/>
          <w:color w:val="000000"/>
          <w:sz w:val="21"/>
        </w:rPr>
        <w:t>The features listed in the future support section are excluded because they are beyond the scope of Equity Definitions VE.</w:t>
      </w:r>
    </w:p>
    <w:p w14:paraId="582D0A13" w14:textId="77777777" w:rsidR="007B6EA8" w:rsidRPr="008F7BC2" w:rsidRDefault="007B6EA8" w:rsidP="005A62FA">
      <w:pPr>
        <w:spacing w:after="200" w:line="276" w:lineRule="auto"/>
        <w:rPr>
          <w:rFonts w:ascii="Arial" w:hAnsi="Arial" w:cs="Arial"/>
          <w:sz w:val="21"/>
          <w:szCs w:val="21"/>
        </w:rPr>
      </w:pPr>
      <w:r w:rsidRPr="008F7BC2">
        <w:rPr>
          <w:rFonts w:ascii="Arial" w:hAnsi="Arial" w:cs="Arial"/>
          <w:sz w:val="21"/>
          <w:szCs w:val="21"/>
        </w:rPr>
        <w:t>Rationale for including it in 2 elements -</w:t>
      </w:r>
    </w:p>
    <w:p w14:paraId="52E850D8" w14:textId="77777777" w:rsidR="007B6EA8" w:rsidRPr="008F7BC2" w:rsidRDefault="007B6EA8" w:rsidP="00475EB8">
      <w:pPr>
        <w:pStyle w:val="ListParagraph"/>
        <w:numPr>
          <w:ilvl w:val="0"/>
          <w:numId w:val="2"/>
        </w:numPr>
        <w:rPr>
          <w:rFonts w:ascii="Arial" w:hAnsi="Arial" w:cs="Arial"/>
          <w:sz w:val="21"/>
          <w:szCs w:val="21"/>
        </w:rPr>
      </w:pPr>
      <w:hyperlink r:id="rId18" w:history="1">
        <w:r w:rsidRPr="008F7BC2">
          <w:rPr>
            <w:rStyle w:val="Hyperlink"/>
            <w:rFonts w:ascii="Arial" w:hAnsi="Arial" w:cs="Arial"/>
            <w:sz w:val="21"/>
            <w:szCs w:val="21"/>
          </w:rPr>
          <w:t>equityExercise</w:t>
        </w:r>
      </w:hyperlink>
      <w:r w:rsidRPr="008F7BC2">
        <w:rPr>
          <w:rFonts w:ascii="Arial" w:hAnsi="Arial" w:cs="Arial"/>
          <w:sz w:val="21"/>
          <w:szCs w:val="21"/>
        </w:rPr>
        <w:t xml:space="preserve"> / </w:t>
      </w:r>
      <w:hyperlink r:id="rId19" w:history="1">
        <w:r w:rsidRPr="008F7BC2">
          <w:rPr>
            <w:rStyle w:val="Hyperlink"/>
            <w:rFonts w:ascii="Arial" w:hAnsi="Arial" w:cs="Arial"/>
            <w:sz w:val="21"/>
            <w:szCs w:val="21"/>
          </w:rPr>
          <w:t>equityValuation</w:t>
        </w:r>
      </w:hyperlink>
      <w:r w:rsidRPr="008F7BC2">
        <w:rPr>
          <w:rFonts w:ascii="Arial" w:hAnsi="Arial" w:cs="Arial"/>
          <w:sz w:val="21"/>
          <w:szCs w:val="21"/>
        </w:rPr>
        <w:t xml:space="preserve"> is applicable for Products - </w:t>
      </w:r>
      <w:hyperlink r:id="rId20" w:tooltip="global element &lt;brokerEquityOption&gt; in {http://www.fpml.org/FpML-5/confirmation}" w:history="1">
        <w:r w:rsidRPr="008F7BC2">
          <w:rPr>
            <w:rStyle w:val="Hyperlink"/>
            <w:rFonts w:ascii="Arial" w:hAnsi="Arial" w:cs="Arial"/>
            <w:sz w:val="21"/>
            <w:szCs w:val="21"/>
          </w:rPr>
          <w:t>brokerEquityOption</w:t>
        </w:r>
      </w:hyperlink>
      <w:r w:rsidRPr="008F7BC2">
        <w:rPr>
          <w:rFonts w:ascii="Arial" w:hAnsi="Arial" w:cs="Arial"/>
          <w:sz w:val="21"/>
          <w:szCs w:val="21"/>
        </w:rPr>
        <w:t>, </w:t>
      </w:r>
      <w:hyperlink r:id="rId21" w:tooltip="global element &lt;equityForward&gt; in {http://www.fpml.org/FpML-5/confirmation}" w:history="1">
        <w:r w:rsidRPr="008F7BC2">
          <w:rPr>
            <w:rStyle w:val="Hyperlink"/>
            <w:rFonts w:ascii="Arial" w:hAnsi="Arial" w:cs="Arial"/>
            <w:sz w:val="21"/>
            <w:szCs w:val="21"/>
          </w:rPr>
          <w:t>equityForward</w:t>
        </w:r>
      </w:hyperlink>
      <w:r w:rsidRPr="008F7BC2">
        <w:rPr>
          <w:rFonts w:ascii="Arial" w:hAnsi="Arial" w:cs="Arial"/>
          <w:sz w:val="21"/>
          <w:szCs w:val="21"/>
        </w:rPr>
        <w:t>, </w:t>
      </w:r>
      <w:hyperlink r:id="rId22" w:tooltip="global element &lt;equityOption&gt; in {http://www.fpml.org/FpML-5/confirmation}" w:history="1">
        <w:r w:rsidRPr="008F7BC2">
          <w:rPr>
            <w:rStyle w:val="Hyperlink"/>
            <w:rFonts w:ascii="Arial" w:hAnsi="Arial" w:cs="Arial"/>
            <w:sz w:val="21"/>
            <w:szCs w:val="21"/>
          </w:rPr>
          <w:t>equityOption</w:t>
        </w:r>
      </w:hyperlink>
      <w:r w:rsidRPr="008F7BC2">
        <w:rPr>
          <w:rFonts w:ascii="Arial" w:hAnsi="Arial" w:cs="Arial"/>
          <w:sz w:val="21"/>
          <w:szCs w:val="21"/>
        </w:rPr>
        <w:t>, </w:t>
      </w:r>
      <w:hyperlink r:id="rId23" w:tooltip="global element &lt;equityOptionTransactionSupplement&gt; in {http://www.fpml.org/FpML-5/confirmation}" w:history="1">
        <w:r w:rsidRPr="008F7BC2">
          <w:rPr>
            <w:rStyle w:val="Hyperlink"/>
            <w:rFonts w:ascii="Arial" w:hAnsi="Arial" w:cs="Arial"/>
            <w:sz w:val="21"/>
            <w:szCs w:val="21"/>
          </w:rPr>
          <w:t>equityOptionTransactionSupplement</w:t>
        </w:r>
      </w:hyperlink>
    </w:p>
    <w:p w14:paraId="57D9187B" w14:textId="03B4E9B2" w:rsidR="00961028" w:rsidRPr="002907E8" w:rsidRDefault="007B6EA8" w:rsidP="00475EB8">
      <w:pPr>
        <w:pStyle w:val="ListParagraph"/>
        <w:numPr>
          <w:ilvl w:val="0"/>
          <w:numId w:val="2"/>
        </w:numPr>
        <w:spacing w:after="200" w:line="276" w:lineRule="auto"/>
        <w:rPr>
          <w:rFonts w:ascii="Arial" w:hAnsi="Arial" w:cs="Arial"/>
          <w:sz w:val="21"/>
          <w:szCs w:val="21"/>
        </w:rPr>
      </w:pPr>
      <w:hyperlink r:id="rId24" w:history="1">
        <w:r w:rsidRPr="008F7BC2">
          <w:rPr>
            <w:rStyle w:val="Hyperlink"/>
            <w:rFonts w:ascii="Arial" w:hAnsi="Arial" w:cs="Arial"/>
            <w:sz w:val="21"/>
            <w:szCs w:val="21"/>
          </w:rPr>
          <w:t>valuationRules</w:t>
        </w:r>
      </w:hyperlink>
      <w:r w:rsidRPr="008F7BC2">
        <w:rPr>
          <w:rFonts w:ascii="Arial" w:hAnsi="Arial" w:cs="Arial"/>
          <w:sz w:val="21"/>
          <w:szCs w:val="21"/>
        </w:rPr>
        <w:t xml:space="preserve"> is applicable for equity swaps (both </w:t>
      </w:r>
      <w:hyperlink r:id="rId25" w:history="1">
        <w:r w:rsidRPr="008F7BC2">
          <w:rPr>
            <w:rStyle w:val="Hyperlink"/>
            <w:rFonts w:ascii="Arial" w:hAnsi="Arial" w:cs="Arial"/>
            <w:sz w:val="21"/>
            <w:szCs w:val="21"/>
          </w:rPr>
          <w:t>ReturnSwap</w:t>
        </w:r>
      </w:hyperlink>
      <w:r w:rsidRPr="008F7BC2">
        <w:rPr>
          <w:rFonts w:ascii="Arial" w:hAnsi="Arial" w:cs="Arial"/>
          <w:sz w:val="21"/>
          <w:szCs w:val="21"/>
        </w:rPr>
        <w:t xml:space="preserve"> and </w:t>
      </w:r>
      <w:hyperlink r:id="rId26" w:history="1">
        <w:r w:rsidRPr="008F7BC2">
          <w:rPr>
            <w:rStyle w:val="Hyperlink"/>
            <w:rFonts w:ascii="Arial" w:hAnsi="Arial" w:cs="Arial"/>
            <w:sz w:val="21"/>
            <w:szCs w:val="21"/>
          </w:rPr>
          <w:t>EquitySwapTransactionSupplement</w:t>
        </w:r>
      </w:hyperlink>
      <w:r w:rsidRPr="008F7BC2">
        <w:rPr>
          <w:rFonts w:ascii="Arial" w:hAnsi="Arial" w:cs="Arial"/>
          <w:sz w:val="21"/>
          <w:szCs w:val="21"/>
        </w:rPr>
        <w:t>)</w:t>
      </w:r>
    </w:p>
    <w:p w14:paraId="68D1AA9F" w14:textId="645CD15F" w:rsidR="00C15348" w:rsidRPr="008F7BC2" w:rsidRDefault="00C15348" w:rsidP="005A62FA">
      <w:pPr>
        <w:rPr>
          <w:rFonts w:ascii="Arial" w:hAnsi="Arial" w:cs="Arial"/>
          <w:b/>
          <w:bCs/>
          <w:sz w:val="21"/>
          <w:szCs w:val="21"/>
          <w:u w:val="single"/>
        </w:rPr>
      </w:pPr>
      <w:r w:rsidRPr="008F7BC2">
        <w:rPr>
          <w:rFonts w:ascii="Arial" w:hAnsi="Arial" w:cs="Arial"/>
          <w:b/>
          <w:bCs/>
          <w:sz w:val="21"/>
          <w:szCs w:val="21"/>
          <w:u w:val="single"/>
        </w:rPr>
        <w:t>Future support</w:t>
      </w:r>
    </w:p>
    <w:p w14:paraId="28EFE33C" w14:textId="4EBBD03E" w:rsidR="00167BA2" w:rsidRPr="008F7BC2" w:rsidRDefault="00130E33" w:rsidP="00130E33">
      <w:pPr>
        <w:rPr>
          <w:rFonts w:ascii="Arial" w:hAnsi="Arial" w:cs="Arial"/>
          <w:sz w:val="21"/>
          <w:szCs w:val="21"/>
        </w:rPr>
      </w:pPr>
      <w:r w:rsidRPr="00130E33">
        <w:rPr>
          <w:rFonts w:ascii="Arial" w:hAnsi="Arial" w:cs="Arial"/>
          <w:color w:val="000000"/>
          <w:sz w:val="21"/>
        </w:rPr>
        <w:t>When developing new products, it is important to take this feature into account as part of the Equity Definitions framework.</w:t>
      </w:r>
      <w:r>
        <w:rPr>
          <w:rFonts w:ascii="Arial" w:hAnsi="Arial" w:cs="Arial"/>
          <w:color w:val="000000"/>
          <w:sz w:val="21"/>
        </w:rPr>
        <w:t xml:space="preserve"> </w:t>
      </w:r>
      <w:r w:rsidRPr="00130E33">
        <w:rPr>
          <w:rFonts w:ascii="Arial" w:hAnsi="Arial" w:cs="Arial"/>
          <w:color w:val="000000"/>
          <w:sz w:val="21"/>
        </w:rPr>
        <w:t>Development efforts at this stage should focus exclusively on Options, Swaps, and Forwards.</w:t>
      </w:r>
    </w:p>
    <w:p w14:paraId="15ED3B02" w14:textId="77777777" w:rsidR="00167BA2" w:rsidRPr="008F7BC2" w:rsidRDefault="00167BA2" w:rsidP="005A62FA">
      <w:pPr>
        <w:rPr>
          <w:rFonts w:ascii="Arial" w:hAnsi="Arial" w:cs="Arial"/>
          <w:sz w:val="21"/>
          <w:szCs w:val="21"/>
        </w:rPr>
      </w:pPr>
      <w:hyperlink r:id="rId27" w:tooltip="local element &lt;correlationLeg&gt; in {http://www.fpml.org/FpML-5/confirmation}" w:history="1">
        <w:r w:rsidRPr="008F7BC2">
          <w:rPr>
            <w:rStyle w:val="Hyperlink"/>
            <w:rFonts w:ascii="Arial" w:hAnsi="Arial" w:cs="Arial"/>
            <w:sz w:val="21"/>
            <w:szCs w:val="21"/>
          </w:rPr>
          <w:t>correlationLeg</w:t>
        </w:r>
      </w:hyperlink>
      <w:r w:rsidRPr="008F7BC2">
        <w:rPr>
          <w:rFonts w:ascii="Arial" w:hAnsi="Arial" w:cs="Arial"/>
          <w:sz w:val="21"/>
          <w:szCs w:val="21"/>
        </w:rPr>
        <w:t>,</w:t>
      </w:r>
    </w:p>
    <w:p w14:paraId="48FD76C5" w14:textId="77777777" w:rsidR="00167BA2" w:rsidRPr="008F7BC2" w:rsidRDefault="00167BA2" w:rsidP="005A62FA">
      <w:pPr>
        <w:rPr>
          <w:rFonts w:ascii="Arial" w:hAnsi="Arial" w:cs="Arial"/>
          <w:sz w:val="21"/>
          <w:szCs w:val="21"/>
        </w:rPr>
      </w:pPr>
      <w:hyperlink r:id="rId28" w:tooltip="local element &lt;varianceLeg&gt; in {http://www.fpml.org/FpML-5/confirmation}" w:history="1">
        <w:r w:rsidRPr="008F7BC2">
          <w:rPr>
            <w:rStyle w:val="Hyperlink"/>
            <w:rFonts w:ascii="Arial" w:hAnsi="Arial" w:cs="Arial"/>
            <w:sz w:val="21"/>
            <w:szCs w:val="21"/>
          </w:rPr>
          <w:t>varianceLeg</w:t>
        </w:r>
      </w:hyperlink>
      <w:r w:rsidRPr="008F7BC2">
        <w:rPr>
          <w:rFonts w:ascii="Arial" w:hAnsi="Arial" w:cs="Arial"/>
          <w:sz w:val="21"/>
          <w:szCs w:val="21"/>
        </w:rPr>
        <w:t> (defined in </w:t>
      </w:r>
      <w:hyperlink r:id="rId29" w:tgtFrame="detailFrame" w:tooltip="complexType " w:history="1">
        <w:r w:rsidRPr="008F7BC2">
          <w:rPr>
            <w:rStyle w:val="Hyperlink"/>
            <w:rFonts w:ascii="Arial" w:hAnsi="Arial" w:cs="Arial"/>
            <w:sz w:val="21"/>
            <w:szCs w:val="21"/>
          </w:rPr>
          <w:t>VarianceSwapTransactionSupplement</w:t>
        </w:r>
      </w:hyperlink>
      <w:r w:rsidRPr="008F7BC2">
        <w:rPr>
          <w:rFonts w:ascii="Arial" w:hAnsi="Arial" w:cs="Arial"/>
          <w:sz w:val="21"/>
          <w:szCs w:val="21"/>
        </w:rPr>
        <w:t> complexType),</w:t>
      </w:r>
    </w:p>
    <w:p w14:paraId="3EC24280" w14:textId="77777777" w:rsidR="00167BA2" w:rsidRPr="008F7BC2" w:rsidRDefault="00167BA2" w:rsidP="005A62FA">
      <w:pPr>
        <w:rPr>
          <w:rFonts w:ascii="Arial" w:hAnsi="Arial" w:cs="Arial"/>
          <w:sz w:val="21"/>
          <w:szCs w:val="21"/>
        </w:rPr>
      </w:pPr>
      <w:hyperlink r:id="rId30" w:tooltip="local element &lt;varianceLeg&gt; in {http://www.fpml.org/FpML-5/confirmation}" w:history="1">
        <w:r w:rsidRPr="008F7BC2">
          <w:rPr>
            <w:rStyle w:val="Hyperlink"/>
            <w:rFonts w:ascii="Arial" w:hAnsi="Arial" w:cs="Arial"/>
            <w:sz w:val="21"/>
            <w:szCs w:val="21"/>
          </w:rPr>
          <w:t>varianceLeg</w:t>
        </w:r>
      </w:hyperlink>
      <w:r w:rsidRPr="008F7BC2">
        <w:rPr>
          <w:rFonts w:ascii="Arial" w:hAnsi="Arial" w:cs="Arial"/>
          <w:sz w:val="21"/>
          <w:szCs w:val="21"/>
        </w:rPr>
        <w:t> (in </w:t>
      </w:r>
      <w:hyperlink r:id="rId31" w:tgtFrame="detailFrame" w:tooltip="global element &lt;varianceSwap&gt; in {http://www.fpml.org/FpML-5/confirmation}" w:history="1">
        <w:r w:rsidRPr="008F7BC2">
          <w:rPr>
            <w:rStyle w:val="Hyperlink"/>
            <w:rFonts w:ascii="Arial" w:hAnsi="Arial" w:cs="Arial"/>
            <w:sz w:val="21"/>
            <w:szCs w:val="21"/>
          </w:rPr>
          <w:t>varianceSwap</w:t>
        </w:r>
      </w:hyperlink>
      <w:r w:rsidRPr="008F7BC2">
        <w:rPr>
          <w:rFonts w:ascii="Arial" w:hAnsi="Arial" w:cs="Arial"/>
          <w:sz w:val="21"/>
          <w:szCs w:val="21"/>
        </w:rPr>
        <w:t>),</w:t>
      </w:r>
    </w:p>
    <w:p w14:paraId="3D7E07A9" w14:textId="77777777" w:rsidR="00167BA2" w:rsidRPr="008F7BC2" w:rsidRDefault="00167BA2" w:rsidP="005A62FA">
      <w:pPr>
        <w:rPr>
          <w:rFonts w:ascii="Arial" w:hAnsi="Arial" w:cs="Arial"/>
          <w:sz w:val="21"/>
          <w:szCs w:val="21"/>
        </w:rPr>
      </w:pPr>
      <w:hyperlink r:id="rId32" w:tooltip="local element &lt;volatilityLeg&gt; in {http://www.fpml.org/FpML-5/confirmation}" w:history="1">
        <w:r w:rsidRPr="008F7BC2">
          <w:rPr>
            <w:rStyle w:val="Hyperlink"/>
            <w:rFonts w:ascii="Arial" w:hAnsi="Arial" w:cs="Arial"/>
            <w:sz w:val="21"/>
            <w:szCs w:val="21"/>
          </w:rPr>
          <w:t>volatilityLeg</w:t>
        </w:r>
      </w:hyperlink>
      <w:r w:rsidRPr="008F7BC2">
        <w:rPr>
          <w:rFonts w:ascii="Arial" w:hAnsi="Arial" w:cs="Arial"/>
          <w:sz w:val="21"/>
          <w:szCs w:val="21"/>
        </w:rPr>
        <w:t> (in </w:t>
      </w:r>
      <w:hyperlink r:id="rId33" w:tgtFrame="detailFrame" w:tooltip="global element &lt;volatilitySwap&gt; in {http://www.fpml.org/FpML-5/confirmation}" w:history="1">
        <w:r w:rsidRPr="008F7BC2">
          <w:rPr>
            <w:rStyle w:val="Hyperlink"/>
            <w:rFonts w:ascii="Arial" w:hAnsi="Arial" w:cs="Arial"/>
            <w:sz w:val="21"/>
            <w:szCs w:val="21"/>
          </w:rPr>
          <w:t>volatilitySwap</w:t>
        </w:r>
      </w:hyperlink>
      <w:r w:rsidRPr="008F7BC2">
        <w:rPr>
          <w:rFonts w:ascii="Arial" w:hAnsi="Arial" w:cs="Arial"/>
          <w:sz w:val="21"/>
          <w:szCs w:val="21"/>
        </w:rPr>
        <w:t>),</w:t>
      </w:r>
    </w:p>
    <w:p w14:paraId="26F8AC19" w14:textId="77777777" w:rsidR="00167BA2" w:rsidRPr="008F7BC2" w:rsidRDefault="00167BA2" w:rsidP="005A62FA">
      <w:pPr>
        <w:rPr>
          <w:rFonts w:ascii="Arial" w:hAnsi="Arial" w:cs="Arial"/>
          <w:sz w:val="21"/>
          <w:szCs w:val="21"/>
        </w:rPr>
      </w:pPr>
      <w:hyperlink r:id="rId34" w:tooltip="local element &lt;volatilityLeg&gt; in {http://www.fpml.org/FpML-5/confirmation}" w:history="1">
        <w:r w:rsidRPr="008F7BC2">
          <w:rPr>
            <w:rStyle w:val="Hyperlink"/>
            <w:rFonts w:ascii="Arial" w:hAnsi="Arial" w:cs="Arial"/>
            <w:sz w:val="21"/>
            <w:szCs w:val="21"/>
          </w:rPr>
          <w:t>volatilityLeg</w:t>
        </w:r>
      </w:hyperlink>
      <w:r w:rsidRPr="008F7BC2">
        <w:rPr>
          <w:rFonts w:ascii="Arial" w:hAnsi="Arial" w:cs="Arial"/>
          <w:sz w:val="21"/>
          <w:szCs w:val="21"/>
        </w:rPr>
        <w:t> (in </w:t>
      </w:r>
      <w:hyperlink r:id="rId35" w:tgtFrame="detailFrame" w:tooltip="global element &lt;volatilitySwapTransactionSupplement&gt; in {http://www.fpml.org/FpML-5/confirmation}" w:history="1">
        <w:r w:rsidRPr="008F7BC2">
          <w:rPr>
            <w:rStyle w:val="Hyperlink"/>
            <w:rFonts w:ascii="Arial" w:hAnsi="Arial" w:cs="Arial"/>
            <w:sz w:val="21"/>
            <w:szCs w:val="21"/>
          </w:rPr>
          <w:t>volatilitySwapTransactionSupplement</w:t>
        </w:r>
      </w:hyperlink>
      <w:r w:rsidRPr="008F7BC2">
        <w:rPr>
          <w:rFonts w:ascii="Arial" w:hAnsi="Arial" w:cs="Arial"/>
          <w:sz w:val="21"/>
          <w:szCs w:val="21"/>
        </w:rPr>
        <w:t>) / valuation (EquityValuation)</w:t>
      </w:r>
    </w:p>
    <w:p w14:paraId="0D001878" w14:textId="5EB89596" w:rsidR="00E92C72" w:rsidRPr="003229CE" w:rsidRDefault="00167BA2" w:rsidP="00F24679">
      <w:pPr>
        <w:pStyle w:val="Heading1"/>
        <w:rPr>
          <w:sz w:val="32"/>
          <w:szCs w:val="32"/>
        </w:rPr>
      </w:pPr>
      <w:bookmarkStart w:id="4" w:name="_Toc223723265"/>
      <w:r w:rsidRPr="003229CE">
        <w:rPr>
          <w:sz w:val="32"/>
          <w:szCs w:val="32"/>
        </w:rPr>
        <w:t>VWAP</w:t>
      </w:r>
      <w:r w:rsidR="00FC7FE3">
        <w:rPr>
          <w:sz w:val="32"/>
          <w:szCs w:val="32"/>
        </w:rPr>
        <w:t xml:space="preserve"> VE</w:t>
      </w:r>
      <w:r w:rsidRPr="003229CE">
        <w:rPr>
          <w:sz w:val="32"/>
          <w:szCs w:val="32"/>
        </w:rPr>
        <w:t xml:space="preserve"> and TWAP</w:t>
      </w:r>
      <w:r w:rsidR="00FC7FE3">
        <w:rPr>
          <w:sz w:val="32"/>
          <w:szCs w:val="32"/>
        </w:rPr>
        <w:t xml:space="preserve"> VE</w:t>
      </w:r>
      <w:bookmarkEnd w:id="4"/>
    </w:p>
    <w:p w14:paraId="09517946" w14:textId="77777777" w:rsidR="004475B4" w:rsidRPr="003229CE" w:rsidRDefault="00167BA2" w:rsidP="00E92C72">
      <w:pPr>
        <w:pStyle w:val="Heading2"/>
        <w:rPr>
          <w:sz w:val="24"/>
          <w:szCs w:val="24"/>
        </w:rPr>
      </w:pPr>
      <w:r w:rsidRPr="003229CE">
        <w:rPr>
          <w:sz w:val="24"/>
          <w:szCs w:val="24"/>
        </w:rPr>
        <w:t>Equity Definitions VE Confirmation extract:</w:t>
      </w:r>
    </w:p>
    <w:p w14:paraId="3949BC35" w14:textId="31F7C51B" w:rsidR="00F24679" w:rsidRPr="003229CE" w:rsidRDefault="00167BA2" w:rsidP="004475B4">
      <w:pPr>
        <w:rPr>
          <w:sz w:val="20"/>
          <w:szCs w:val="20"/>
        </w:rPr>
      </w:pPr>
      <w:r w:rsidRPr="003229CE">
        <w:rPr>
          <w:noProof/>
          <w:sz w:val="20"/>
          <w:szCs w:val="20"/>
        </w:rPr>
        <w:drawing>
          <wp:inline distT="0" distB="0" distL="0" distR="0" wp14:anchorId="504C2C06" wp14:editId="527AE4D4">
            <wp:extent cx="4115011" cy="3219902"/>
            <wp:effectExtent l="19050" t="19050" r="19050" b="19050"/>
            <wp:docPr id="5" name="Picture 1" descr="A screenshot of a document&#10;&#10;AI-generated content may be incorrect.">
              <a:extLst xmlns:a="http://schemas.openxmlformats.org/drawingml/2006/main">
                <a:ext uri="{FF2B5EF4-FFF2-40B4-BE49-F238E27FC236}">
                  <a16:creationId xmlns:a16="http://schemas.microsoft.com/office/drawing/2014/main" id="{B5213EB4-32B5-4854-9B63-18819AC851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screenshot of a document&#10;&#10;AI-generated content may be incorrect."/>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56431" cy="3252313"/>
                    </a:xfrm>
                    <a:prstGeom prst="rect">
                      <a:avLst/>
                    </a:prstGeom>
                    <a:noFill/>
                    <a:ln>
                      <a:solidFill>
                        <a:schemeClr val="accent1"/>
                      </a:solidFill>
                    </a:ln>
                  </pic:spPr>
                </pic:pic>
              </a:graphicData>
            </a:graphic>
          </wp:inline>
        </w:drawing>
      </w:r>
    </w:p>
    <w:p w14:paraId="5B95254E" w14:textId="77777777" w:rsidR="00BC4FAF" w:rsidRPr="00E97F4F" w:rsidRDefault="00BC4FAF" w:rsidP="00BC4FAF">
      <w:pPr>
        <w:rPr>
          <w:rFonts w:ascii="Arial" w:hAnsi="Arial" w:cs="Arial"/>
          <w:sz w:val="21"/>
          <w:szCs w:val="21"/>
        </w:rPr>
      </w:pPr>
      <w:r w:rsidRPr="00E97F4F">
        <w:rPr>
          <w:rFonts w:ascii="Arial" w:hAnsi="Arial" w:cs="Arial"/>
          <w:b/>
          <w:bCs/>
          <w:sz w:val="21"/>
          <w:szCs w:val="21"/>
        </w:rPr>
        <w:t>Business context</w:t>
      </w:r>
    </w:p>
    <w:p w14:paraId="39742189" w14:textId="0E5B1C88" w:rsidR="00BC4FAF" w:rsidRPr="00E97F4F" w:rsidRDefault="00BC4FAF" w:rsidP="00475EB8">
      <w:pPr>
        <w:numPr>
          <w:ilvl w:val="0"/>
          <w:numId w:val="9"/>
        </w:numPr>
        <w:tabs>
          <w:tab w:val="clear" w:pos="720"/>
          <w:tab w:val="num" w:pos="0"/>
        </w:tabs>
        <w:rPr>
          <w:rFonts w:ascii="Arial" w:hAnsi="Arial" w:cs="Arial"/>
          <w:sz w:val="21"/>
          <w:szCs w:val="21"/>
        </w:rPr>
      </w:pPr>
      <w:r w:rsidRPr="00E97F4F">
        <w:rPr>
          <w:rFonts w:ascii="Arial" w:hAnsi="Arial" w:cs="Arial"/>
          <w:b/>
          <w:bCs/>
          <w:sz w:val="21"/>
          <w:szCs w:val="21"/>
        </w:rPr>
        <w:t>VWAP VE (Volume</w:t>
      </w:r>
      <w:r w:rsidRPr="00E97F4F">
        <w:rPr>
          <w:rFonts w:ascii="Arial" w:hAnsi="Arial" w:cs="Arial"/>
          <w:b/>
          <w:bCs/>
          <w:sz w:val="21"/>
          <w:szCs w:val="21"/>
        </w:rPr>
        <w:noBreakHyphen/>
        <w:t>Weighted Average Price)</w:t>
      </w:r>
      <w:r w:rsidRPr="00E97F4F">
        <w:rPr>
          <w:rFonts w:ascii="Arial" w:hAnsi="Arial" w:cs="Arial"/>
          <w:sz w:val="21"/>
          <w:szCs w:val="21"/>
        </w:rPr>
        <w:t>: calculates the price as a volume</w:t>
      </w:r>
      <w:r w:rsidRPr="00E97F4F">
        <w:rPr>
          <w:rFonts w:ascii="Arial" w:hAnsi="Arial" w:cs="Arial"/>
          <w:sz w:val="21"/>
          <w:szCs w:val="21"/>
        </w:rPr>
        <w:noBreakHyphen/>
        <w:t>weighted average of intra</w:t>
      </w:r>
      <w:r w:rsidRPr="00E97F4F">
        <w:rPr>
          <w:rFonts w:ascii="Arial" w:hAnsi="Arial" w:cs="Arial"/>
          <w:sz w:val="21"/>
          <w:szCs w:val="21"/>
        </w:rPr>
        <w:noBreakHyphen/>
        <w:t xml:space="preserve">day prices. </w:t>
      </w:r>
      <w:r w:rsidRPr="00E97F4F">
        <w:rPr>
          <w:rFonts w:ascii="Arial" w:hAnsi="Arial" w:cs="Arial"/>
          <w:b/>
          <w:bCs/>
          <w:sz w:val="21"/>
          <w:szCs w:val="21"/>
        </w:rPr>
        <w:t>VWAP VE Excluding Close</w:t>
      </w:r>
      <w:r w:rsidRPr="00E97F4F">
        <w:rPr>
          <w:rFonts w:ascii="Arial" w:hAnsi="Arial" w:cs="Arial"/>
          <w:sz w:val="21"/>
          <w:szCs w:val="21"/>
        </w:rPr>
        <w:t xml:space="preserve"> is </w:t>
      </w:r>
      <w:r w:rsidR="00B26996" w:rsidRPr="00E97F4F">
        <w:rPr>
          <w:rFonts w:ascii="Arial" w:hAnsi="Arial" w:cs="Arial"/>
          <w:sz w:val="21"/>
          <w:szCs w:val="21"/>
        </w:rPr>
        <w:t>an alternative</w:t>
      </w:r>
      <w:r w:rsidR="009C51FD" w:rsidRPr="00E97F4F">
        <w:rPr>
          <w:rFonts w:ascii="Arial" w:hAnsi="Arial" w:cs="Arial"/>
          <w:sz w:val="21"/>
          <w:szCs w:val="21"/>
        </w:rPr>
        <w:t xml:space="preserve"> where the closing </w:t>
      </w:r>
      <w:r w:rsidR="00F414B3" w:rsidRPr="00E97F4F">
        <w:rPr>
          <w:rFonts w:ascii="Arial" w:hAnsi="Arial" w:cs="Arial"/>
          <w:sz w:val="21"/>
          <w:szCs w:val="21"/>
        </w:rPr>
        <w:t>auction</w:t>
      </w:r>
      <w:r w:rsidR="00F414B3" w:rsidRPr="00E97F4F" w:rsidDel="00F414B3">
        <w:rPr>
          <w:rFonts w:ascii="Arial" w:hAnsi="Arial" w:cs="Arial"/>
          <w:sz w:val="21"/>
          <w:szCs w:val="21"/>
        </w:rPr>
        <w:t xml:space="preserve"> </w:t>
      </w:r>
      <w:r w:rsidR="002B05BD" w:rsidRPr="00E97F4F">
        <w:rPr>
          <w:rFonts w:ascii="Arial" w:hAnsi="Arial" w:cs="Arial"/>
          <w:sz w:val="21"/>
          <w:szCs w:val="21"/>
        </w:rPr>
        <w:t>is excluded from computations.</w:t>
      </w:r>
    </w:p>
    <w:p w14:paraId="37374B47" w14:textId="0E0C3269" w:rsidR="00BC4FAF" w:rsidRPr="00E97F4F" w:rsidRDefault="00BC4FAF" w:rsidP="00475EB8">
      <w:pPr>
        <w:numPr>
          <w:ilvl w:val="0"/>
          <w:numId w:val="9"/>
        </w:numPr>
        <w:tabs>
          <w:tab w:val="clear" w:pos="720"/>
          <w:tab w:val="num" w:pos="0"/>
        </w:tabs>
        <w:rPr>
          <w:rFonts w:ascii="Arial" w:hAnsi="Arial" w:cs="Arial"/>
          <w:sz w:val="21"/>
          <w:szCs w:val="21"/>
        </w:rPr>
      </w:pPr>
      <w:r w:rsidRPr="00E97F4F">
        <w:rPr>
          <w:rFonts w:ascii="Arial" w:hAnsi="Arial" w:cs="Arial"/>
          <w:b/>
          <w:bCs/>
          <w:sz w:val="21"/>
          <w:szCs w:val="21"/>
        </w:rPr>
        <w:t>TWAP VE (Time</w:t>
      </w:r>
      <w:r w:rsidRPr="00E97F4F">
        <w:rPr>
          <w:rFonts w:ascii="Arial" w:hAnsi="Arial" w:cs="Arial"/>
          <w:b/>
          <w:bCs/>
          <w:sz w:val="21"/>
          <w:szCs w:val="21"/>
        </w:rPr>
        <w:noBreakHyphen/>
        <w:t>Weighted Average Price)</w:t>
      </w:r>
      <w:r w:rsidRPr="00E97F4F">
        <w:rPr>
          <w:rFonts w:ascii="Arial" w:hAnsi="Arial" w:cs="Arial"/>
          <w:sz w:val="21"/>
          <w:szCs w:val="21"/>
        </w:rPr>
        <w:t>: calculates the price as a time</w:t>
      </w:r>
      <w:r w:rsidRPr="00E97F4F">
        <w:rPr>
          <w:rFonts w:ascii="Arial" w:hAnsi="Arial" w:cs="Arial"/>
          <w:sz w:val="21"/>
          <w:szCs w:val="21"/>
        </w:rPr>
        <w:noBreakHyphen/>
        <w:t xml:space="preserve">weighted average of prices observed at </w:t>
      </w:r>
      <w:r w:rsidR="00614F12" w:rsidRPr="00E97F4F">
        <w:rPr>
          <w:rFonts w:ascii="Arial" w:hAnsi="Arial" w:cs="Arial"/>
          <w:sz w:val="21"/>
          <w:szCs w:val="21"/>
        </w:rPr>
        <w:t xml:space="preserve">one-minute </w:t>
      </w:r>
      <w:r w:rsidRPr="00E97F4F">
        <w:rPr>
          <w:rFonts w:ascii="Arial" w:hAnsi="Arial" w:cs="Arial"/>
          <w:b/>
          <w:bCs/>
          <w:sz w:val="21"/>
          <w:szCs w:val="21"/>
        </w:rPr>
        <w:t>intervals</w:t>
      </w:r>
      <w:r w:rsidRPr="00E97F4F">
        <w:rPr>
          <w:rFonts w:ascii="Arial" w:hAnsi="Arial" w:cs="Arial"/>
          <w:sz w:val="21"/>
          <w:szCs w:val="21"/>
        </w:rPr>
        <w:t xml:space="preserve"> during the valuation session.</w:t>
      </w:r>
      <w:r w:rsidR="005E3C10" w:rsidRPr="00E97F4F">
        <w:rPr>
          <w:rFonts w:ascii="Arial" w:hAnsi="Arial" w:cs="Arial"/>
          <w:sz w:val="21"/>
          <w:szCs w:val="21"/>
        </w:rPr>
        <w:t xml:space="preserve"> </w:t>
      </w:r>
      <w:r w:rsidR="0007448A" w:rsidRPr="00E97F4F">
        <w:rPr>
          <w:rFonts w:ascii="Arial" w:hAnsi="Arial" w:cs="Arial"/>
          <w:sz w:val="21"/>
          <w:szCs w:val="21"/>
        </w:rPr>
        <w:t xml:space="preserve">Like above, </w:t>
      </w:r>
      <w:r w:rsidR="0007448A" w:rsidRPr="00E97F4F">
        <w:rPr>
          <w:rFonts w:ascii="Arial" w:hAnsi="Arial" w:cs="Arial"/>
          <w:b/>
          <w:bCs/>
          <w:sz w:val="21"/>
          <w:szCs w:val="21"/>
        </w:rPr>
        <w:t>TWAP VE Excluding Close</w:t>
      </w:r>
      <w:r w:rsidR="0007448A" w:rsidRPr="00E97F4F">
        <w:rPr>
          <w:rFonts w:ascii="Arial" w:hAnsi="Arial" w:cs="Arial"/>
          <w:sz w:val="21"/>
          <w:szCs w:val="21"/>
        </w:rPr>
        <w:t xml:space="preserve"> is </w:t>
      </w:r>
      <w:r w:rsidR="00B26996" w:rsidRPr="00E97F4F">
        <w:rPr>
          <w:rFonts w:ascii="Arial" w:hAnsi="Arial" w:cs="Arial"/>
          <w:sz w:val="21"/>
          <w:szCs w:val="21"/>
        </w:rPr>
        <w:t>an alternative</w:t>
      </w:r>
      <w:r w:rsidR="0007448A" w:rsidRPr="00E97F4F">
        <w:rPr>
          <w:rFonts w:ascii="Arial" w:hAnsi="Arial" w:cs="Arial"/>
          <w:sz w:val="21"/>
          <w:szCs w:val="21"/>
        </w:rPr>
        <w:t xml:space="preserve"> where the closing </w:t>
      </w:r>
      <w:r w:rsidR="00EF3442" w:rsidRPr="00E97F4F">
        <w:rPr>
          <w:rFonts w:ascii="Arial" w:hAnsi="Arial" w:cs="Arial"/>
          <w:sz w:val="21"/>
          <w:szCs w:val="21"/>
        </w:rPr>
        <w:t xml:space="preserve">auction </w:t>
      </w:r>
      <w:r w:rsidR="0007448A" w:rsidRPr="00E97F4F">
        <w:rPr>
          <w:rFonts w:ascii="Arial" w:hAnsi="Arial" w:cs="Arial"/>
          <w:sz w:val="21"/>
          <w:szCs w:val="21"/>
        </w:rPr>
        <w:t xml:space="preserve">is excluded from </w:t>
      </w:r>
      <w:r w:rsidR="00B26996" w:rsidRPr="00E97F4F">
        <w:rPr>
          <w:rFonts w:ascii="Arial" w:hAnsi="Arial" w:cs="Arial"/>
          <w:sz w:val="21"/>
          <w:szCs w:val="21"/>
        </w:rPr>
        <w:t>computations</w:t>
      </w:r>
      <w:r w:rsidR="0007448A" w:rsidRPr="00E97F4F">
        <w:rPr>
          <w:rFonts w:ascii="Arial" w:hAnsi="Arial" w:cs="Arial"/>
          <w:sz w:val="21"/>
          <w:szCs w:val="21"/>
        </w:rPr>
        <w:t xml:space="preserve">. </w:t>
      </w:r>
    </w:p>
    <w:p w14:paraId="5F4FB9B5" w14:textId="567442FF" w:rsidR="00BC4FAF" w:rsidRPr="00E97F4F" w:rsidRDefault="00BC4FAF" w:rsidP="00475EB8">
      <w:pPr>
        <w:numPr>
          <w:ilvl w:val="0"/>
          <w:numId w:val="9"/>
        </w:numPr>
        <w:tabs>
          <w:tab w:val="clear" w:pos="720"/>
          <w:tab w:val="num" w:pos="0"/>
        </w:tabs>
        <w:rPr>
          <w:rFonts w:ascii="Arial" w:hAnsi="Arial" w:cs="Arial"/>
          <w:sz w:val="21"/>
          <w:szCs w:val="21"/>
        </w:rPr>
      </w:pPr>
      <w:r w:rsidRPr="00E97F4F">
        <w:rPr>
          <w:rFonts w:ascii="Arial" w:hAnsi="Arial" w:cs="Arial"/>
          <w:b/>
          <w:bCs/>
          <w:sz w:val="21"/>
          <w:szCs w:val="21"/>
        </w:rPr>
        <w:t>TWAP</w:t>
      </w:r>
      <w:r w:rsidR="0007448A" w:rsidRPr="00E97F4F">
        <w:rPr>
          <w:rFonts w:ascii="Arial" w:hAnsi="Arial" w:cs="Arial"/>
          <w:b/>
          <w:bCs/>
          <w:sz w:val="21"/>
          <w:szCs w:val="21"/>
        </w:rPr>
        <w:t xml:space="preserve"> VE</w:t>
      </w:r>
      <w:r w:rsidRPr="00E97F4F">
        <w:rPr>
          <w:rFonts w:ascii="Arial" w:hAnsi="Arial" w:cs="Arial"/>
          <w:sz w:val="21"/>
          <w:szCs w:val="21"/>
        </w:rPr>
        <w:t xml:space="preserve"> </w:t>
      </w:r>
      <w:r w:rsidR="0007448A" w:rsidRPr="00E97F4F">
        <w:rPr>
          <w:rFonts w:ascii="Arial" w:hAnsi="Arial" w:cs="Arial"/>
          <w:sz w:val="21"/>
          <w:szCs w:val="21"/>
        </w:rPr>
        <w:t xml:space="preserve">also additionally </w:t>
      </w:r>
      <w:r w:rsidRPr="00E97F4F">
        <w:rPr>
          <w:rFonts w:ascii="Arial" w:hAnsi="Arial" w:cs="Arial"/>
          <w:sz w:val="21"/>
          <w:szCs w:val="21"/>
        </w:rPr>
        <w:t>allows</w:t>
      </w:r>
      <w:r w:rsidR="002C4D46" w:rsidRPr="00E97F4F">
        <w:rPr>
          <w:rFonts w:ascii="Arial" w:hAnsi="Arial" w:cs="Arial"/>
          <w:sz w:val="21"/>
          <w:szCs w:val="21"/>
        </w:rPr>
        <w:t xml:space="preserve"> </w:t>
      </w:r>
      <w:r w:rsidR="00CA1428" w:rsidRPr="00E97F4F">
        <w:rPr>
          <w:rFonts w:ascii="Arial" w:hAnsi="Arial" w:cs="Arial"/>
          <w:sz w:val="21"/>
          <w:szCs w:val="21"/>
        </w:rPr>
        <w:t>session-based</w:t>
      </w:r>
      <w:r w:rsidR="002C4D46" w:rsidRPr="00E97F4F">
        <w:rPr>
          <w:rFonts w:ascii="Arial" w:hAnsi="Arial" w:cs="Arial"/>
          <w:sz w:val="21"/>
          <w:szCs w:val="21"/>
        </w:rPr>
        <w:t xml:space="preserve"> co</w:t>
      </w:r>
      <w:r w:rsidR="00150B96" w:rsidRPr="00E97F4F">
        <w:rPr>
          <w:rFonts w:ascii="Arial" w:hAnsi="Arial" w:cs="Arial"/>
          <w:sz w:val="21"/>
          <w:szCs w:val="21"/>
        </w:rPr>
        <w:t>mputations</w:t>
      </w:r>
      <w:r w:rsidRPr="00E97F4F">
        <w:rPr>
          <w:rFonts w:ascii="Arial" w:hAnsi="Arial" w:cs="Arial"/>
          <w:sz w:val="21"/>
          <w:szCs w:val="21"/>
        </w:rPr>
        <w:t xml:space="preserve">: </w:t>
      </w:r>
    </w:p>
    <w:p w14:paraId="5EBAA0DC" w14:textId="197D7E0B" w:rsidR="00255777" w:rsidRPr="00E97F4F" w:rsidRDefault="00255777" w:rsidP="00475EB8">
      <w:pPr>
        <w:numPr>
          <w:ilvl w:val="1"/>
          <w:numId w:val="9"/>
        </w:numPr>
        <w:tabs>
          <w:tab w:val="clear" w:pos="1440"/>
          <w:tab w:val="num" w:pos="720"/>
        </w:tabs>
        <w:rPr>
          <w:rFonts w:ascii="Arial" w:hAnsi="Arial" w:cs="Arial"/>
          <w:sz w:val="21"/>
          <w:szCs w:val="21"/>
        </w:rPr>
      </w:pPr>
      <w:r w:rsidRPr="00E97F4F">
        <w:rPr>
          <w:rFonts w:ascii="Arial" w:hAnsi="Arial" w:cs="Arial"/>
          <w:sz w:val="21"/>
          <w:szCs w:val="21"/>
        </w:rPr>
        <w:t xml:space="preserve">Specification of a </w:t>
      </w:r>
      <w:r w:rsidRPr="00E97F4F">
        <w:rPr>
          <w:rFonts w:ascii="Arial" w:hAnsi="Arial" w:cs="Arial"/>
          <w:b/>
          <w:bCs/>
          <w:sz w:val="21"/>
          <w:szCs w:val="21"/>
        </w:rPr>
        <w:t>valuation session</w:t>
      </w:r>
      <w:r w:rsidRPr="00E97F4F">
        <w:rPr>
          <w:rFonts w:ascii="Arial" w:hAnsi="Arial" w:cs="Arial"/>
          <w:sz w:val="21"/>
          <w:szCs w:val="21"/>
        </w:rPr>
        <w:t xml:space="preserve"> (defaulting to regular trading hours, excluding the closing auction if TWAP VE Excluding Close is elected, or during </w:t>
      </w:r>
      <w:r w:rsidR="005A6E0B" w:rsidRPr="00E97F4F">
        <w:rPr>
          <w:rFonts w:ascii="Arial" w:hAnsi="Arial" w:cs="Arial"/>
          <w:sz w:val="21"/>
          <w:szCs w:val="21"/>
        </w:rPr>
        <w:t>bespoke</w:t>
      </w:r>
      <w:r w:rsidRPr="00E97F4F">
        <w:rPr>
          <w:rFonts w:ascii="Arial" w:hAnsi="Arial" w:cs="Arial"/>
          <w:sz w:val="21"/>
          <w:szCs w:val="21"/>
        </w:rPr>
        <w:t xml:space="preserve"> time window).</w:t>
      </w:r>
    </w:p>
    <w:p w14:paraId="51E7BE52" w14:textId="715A86B2" w:rsidR="00653708" w:rsidRPr="003229CE" w:rsidRDefault="00BC4FAF" w:rsidP="00475EB8">
      <w:pPr>
        <w:numPr>
          <w:ilvl w:val="1"/>
          <w:numId w:val="9"/>
        </w:numPr>
        <w:tabs>
          <w:tab w:val="clear" w:pos="1440"/>
          <w:tab w:val="num" w:pos="720"/>
        </w:tabs>
        <w:rPr>
          <w:sz w:val="20"/>
          <w:szCs w:val="20"/>
        </w:rPr>
      </w:pPr>
      <w:r w:rsidRPr="00E97F4F">
        <w:rPr>
          <w:rFonts w:ascii="Arial" w:hAnsi="Arial" w:cs="Arial"/>
          <w:sz w:val="21"/>
          <w:szCs w:val="21"/>
        </w:rPr>
        <w:t xml:space="preserve">Specification of the </w:t>
      </w:r>
      <w:r w:rsidRPr="00E97F4F">
        <w:rPr>
          <w:rFonts w:ascii="Arial" w:hAnsi="Arial" w:cs="Arial"/>
          <w:b/>
          <w:bCs/>
          <w:sz w:val="21"/>
          <w:szCs w:val="21"/>
        </w:rPr>
        <w:t>interval</w:t>
      </w:r>
      <w:r w:rsidRPr="00E97F4F">
        <w:rPr>
          <w:rFonts w:ascii="Arial" w:hAnsi="Arial" w:cs="Arial"/>
          <w:sz w:val="21"/>
          <w:szCs w:val="21"/>
        </w:rPr>
        <w:t xml:space="preserve"> (</w:t>
      </w:r>
      <w:r w:rsidR="00BE36A9" w:rsidRPr="00E97F4F">
        <w:rPr>
          <w:rFonts w:ascii="Arial" w:hAnsi="Arial" w:cs="Arial"/>
          <w:sz w:val="21"/>
          <w:szCs w:val="21"/>
        </w:rPr>
        <w:t xml:space="preserve">if </w:t>
      </w:r>
      <w:r w:rsidR="00780C4C" w:rsidRPr="00E97F4F">
        <w:rPr>
          <w:rFonts w:ascii="Arial" w:hAnsi="Arial" w:cs="Arial"/>
          <w:sz w:val="21"/>
          <w:szCs w:val="21"/>
        </w:rPr>
        <w:t xml:space="preserve">other than </w:t>
      </w:r>
      <w:commentRangeStart w:id="5"/>
      <w:commentRangeStart w:id="6"/>
      <w:r w:rsidR="00F925A4" w:rsidRPr="00E97F4F">
        <w:rPr>
          <w:rFonts w:ascii="Arial" w:hAnsi="Arial" w:cs="Arial"/>
          <w:sz w:val="21"/>
          <w:szCs w:val="21"/>
        </w:rPr>
        <w:t>1</w:t>
      </w:r>
      <w:r w:rsidR="00F925A4" w:rsidRPr="00E97F4F">
        <w:rPr>
          <w:rFonts w:ascii="Arial" w:hAnsi="Arial" w:cs="Arial"/>
          <w:sz w:val="21"/>
          <w:szCs w:val="21"/>
        </w:rPr>
        <w:noBreakHyphen/>
        <w:t>minute default</w:t>
      </w:r>
      <w:commentRangeEnd w:id="5"/>
      <w:r w:rsidR="003A1322" w:rsidRPr="00E97F4F">
        <w:rPr>
          <w:rStyle w:val="CommentReference"/>
          <w:rFonts w:ascii="Arial" w:hAnsi="Arial" w:cs="Arial"/>
          <w:sz w:val="21"/>
          <w:szCs w:val="21"/>
        </w:rPr>
        <w:commentReference w:id="5"/>
      </w:r>
      <w:commentRangeEnd w:id="6"/>
      <w:r w:rsidRPr="00E97F4F">
        <w:rPr>
          <w:rStyle w:val="CommentReference"/>
          <w:rFonts w:ascii="Arial" w:hAnsi="Arial" w:cs="Arial"/>
          <w:sz w:val="21"/>
          <w:szCs w:val="21"/>
        </w:rPr>
        <w:commentReference w:id="6"/>
      </w:r>
      <w:r w:rsidR="00780C4C" w:rsidRPr="00E97F4F">
        <w:rPr>
          <w:rFonts w:ascii="Arial" w:hAnsi="Arial" w:cs="Arial"/>
          <w:sz w:val="21"/>
          <w:szCs w:val="21"/>
        </w:rPr>
        <w:t xml:space="preserve">, for e.g. </w:t>
      </w:r>
      <w:r w:rsidRPr="00E97F4F">
        <w:rPr>
          <w:rFonts w:ascii="Arial" w:hAnsi="Arial" w:cs="Arial"/>
          <w:sz w:val="21"/>
          <w:szCs w:val="21"/>
        </w:rPr>
        <w:t>a 5</w:t>
      </w:r>
      <w:r w:rsidRPr="00E97F4F">
        <w:rPr>
          <w:rFonts w:ascii="Arial" w:hAnsi="Arial" w:cs="Arial"/>
          <w:sz w:val="21"/>
          <w:szCs w:val="21"/>
        </w:rPr>
        <w:noBreakHyphen/>
        <w:t>minute interval).</w:t>
      </w:r>
    </w:p>
    <w:p w14:paraId="255CF1D8" w14:textId="1062944C" w:rsidR="00946336" w:rsidRDefault="004F0A76" w:rsidP="00FB34DB">
      <w:pPr>
        <w:pStyle w:val="Heading2"/>
        <w:rPr>
          <w:sz w:val="24"/>
          <w:szCs w:val="24"/>
        </w:rPr>
      </w:pPr>
      <w:r w:rsidRPr="003229CE">
        <w:rPr>
          <w:sz w:val="24"/>
          <w:szCs w:val="24"/>
        </w:rPr>
        <w:t xml:space="preserve">FpML </w:t>
      </w:r>
      <w:r w:rsidR="001633BF" w:rsidRPr="003229CE">
        <w:rPr>
          <w:sz w:val="24"/>
          <w:szCs w:val="24"/>
        </w:rPr>
        <w:t>schema</w:t>
      </w:r>
      <w:r w:rsidR="00EC6881" w:rsidRPr="003229CE">
        <w:rPr>
          <w:sz w:val="24"/>
          <w:szCs w:val="24"/>
        </w:rPr>
        <w:t>:</w:t>
      </w:r>
    </w:p>
    <w:p w14:paraId="61193178" w14:textId="3D6B59F6" w:rsidR="00281C30" w:rsidRPr="004F3F8D" w:rsidRDefault="004F3F8D" w:rsidP="004F3F8D">
      <w:pPr>
        <w:pStyle w:val="Heading3"/>
        <w:rPr>
          <w:rStyle w:val="IntenseEmphasis"/>
          <w:b/>
          <w:bCs/>
          <w:i w:val="0"/>
          <w:iCs w:val="0"/>
        </w:rPr>
      </w:pPr>
      <w:r w:rsidRPr="004F3F8D">
        <w:rPr>
          <w:rFonts w:ascii="Calibri Light" w:hAnsi="Calibri Light" w:cs="Calibri Light"/>
          <w:b/>
          <w:bCs/>
          <w:color w:val="2F5496"/>
          <w:sz w:val="24"/>
        </w:rPr>
        <w:t>Implemented in FpML</w:t>
      </w:r>
    </w:p>
    <w:p w14:paraId="4850AFE0" w14:textId="339D674A" w:rsidR="00AE65C4" w:rsidRPr="00FB34DB" w:rsidRDefault="00AE65C4" w:rsidP="00475EB8">
      <w:pPr>
        <w:pStyle w:val="ListParagraph"/>
        <w:numPr>
          <w:ilvl w:val="0"/>
          <w:numId w:val="10"/>
        </w:numPr>
        <w:rPr>
          <w:rFonts w:ascii="Arial" w:hAnsi="Arial" w:cs="Arial"/>
          <w:sz w:val="21"/>
          <w:szCs w:val="21"/>
        </w:rPr>
      </w:pPr>
      <w:r w:rsidRPr="00FB34DB">
        <w:rPr>
          <w:rFonts w:ascii="Arial" w:hAnsi="Arial" w:cs="Arial"/>
          <w:sz w:val="21"/>
          <w:szCs w:val="21"/>
        </w:rPr>
        <w:t>Extend</w:t>
      </w:r>
      <w:r w:rsidR="003D1EBA" w:rsidRPr="00FB34DB">
        <w:rPr>
          <w:rFonts w:ascii="Arial" w:hAnsi="Arial" w:cs="Arial"/>
          <w:sz w:val="21"/>
          <w:szCs w:val="21"/>
        </w:rPr>
        <w:t xml:space="preserve"> scheme for</w:t>
      </w:r>
      <w:r w:rsidRPr="00FB34DB">
        <w:rPr>
          <w:rFonts w:ascii="Arial" w:hAnsi="Arial" w:cs="Arial"/>
          <w:sz w:val="21"/>
          <w:szCs w:val="21"/>
        </w:rPr>
        <w:t xml:space="preserve"> </w:t>
      </w:r>
      <w:hyperlink r:id="rId37" w:history="1">
        <w:r w:rsidRPr="00FB34DB">
          <w:rPr>
            <w:rStyle w:val="Hyperlink"/>
            <w:rFonts w:ascii="Arial" w:hAnsi="Arial" w:cs="Arial"/>
            <w:sz w:val="21"/>
            <w:szCs w:val="21"/>
          </w:rPr>
          <w:t>determinationMethod</w:t>
        </w:r>
      </w:hyperlink>
      <w:r w:rsidRPr="00FB34DB">
        <w:rPr>
          <w:rFonts w:ascii="Arial" w:hAnsi="Arial" w:cs="Arial"/>
          <w:sz w:val="21"/>
          <w:szCs w:val="21"/>
        </w:rPr>
        <w:t xml:space="preserve"> to</w:t>
      </w:r>
      <w:r w:rsidR="00553E9B" w:rsidRPr="00FB34DB">
        <w:rPr>
          <w:rFonts w:ascii="Arial" w:hAnsi="Arial" w:cs="Arial"/>
          <w:sz w:val="21"/>
          <w:szCs w:val="21"/>
        </w:rPr>
        <w:t xml:space="preserve"> additionally</w:t>
      </w:r>
      <w:r w:rsidRPr="00FB34DB">
        <w:rPr>
          <w:rFonts w:ascii="Arial" w:hAnsi="Arial" w:cs="Arial"/>
          <w:sz w:val="21"/>
          <w:szCs w:val="21"/>
        </w:rPr>
        <w:t xml:space="preserve"> include</w:t>
      </w:r>
      <w:r w:rsidR="000F7C5A" w:rsidRPr="00FB34DB">
        <w:rPr>
          <w:rFonts w:ascii="Arial" w:hAnsi="Arial" w:cs="Arial"/>
          <w:sz w:val="21"/>
          <w:szCs w:val="21"/>
        </w:rPr>
        <w:t xml:space="preserve"> values -</w:t>
      </w:r>
      <w:r w:rsidRPr="00FB34DB">
        <w:rPr>
          <w:rFonts w:ascii="Arial" w:hAnsi="Arial" w:cs="Arial"/>
          <w:sz w:val="21"/>
          <w:szCs w:val="21"/>
        </w:rPr>
        <w:t xml:space="preserve"> </w:t>
      </w:r>
      <w:r w:rsidR="004E3A6E" w:rsidRPr="00FB34DB">
        <w:rPr>
          <w:rFonts w:ascii="Arial" w:hAnsi="Arial" w:cs="Arial"/>
          <w:b/>
          <w:bCs/>
          <w:sz w:val="21"/>
          <w:szCs w:val="21"/>
        </w:rPr>
        <w:t xml:space="preserve">VWAP VE, VWAP VE Excluding Close, TWAP VE, </w:t>
      </w:r>
      <w:r w:rsidR="008714B8" w:rsidRPr="00FB34DB">
        <w:rPr>
          <w:rFonts w:ascii="Arial" w:hAnsi="Arial" w:cs="Arial"/>
          <w:b/>
          <w:bCs/>
          <w:sz w:val="21"/>
          <w:szCs w:val="21"/>
        </w:rPr>
        <w:t>TWAP VE Excluding Close</w:t>
      </w:r>
    </w:p>
    <w:p w14:paraId="60E546D5" w14:textId="0331C1FE" w:rsidR="000B0198" w:rsidRPr="00FB34DB" w:rsidRDefault="000B0198" w:rsidP="00475EB8">
      <w:pPr>
        <w:pStyle w:val="ListParagraph"/>
        <w:numPr>
          <w:ilvl w:val="0"/>
          <w:numId w:val="10"/>
        </w:numPr>
        <w:rPr>
          <w:rFonts w:ascii="Arial" w:hAnsi="Arial" w:cs="Arial"/>
          <w:sz w:val="21"/>
          <w:szCs w:val="21"/>
        </w:rPr>
      </w:pPr>
      <w:r w:rsidRPr="00FB34DB">
        <w:rPr>
          <w:rFonts w:ascii="Arial" w:hAnsi="Arial" w:cs="Arial"/>
          <w:sz w:val="21"/>
          <w:szCs w:val="21"/>
        </w:rPr>
        <w:lastRenderedPageBreak/>
        <w:t xml:space="preserve">Extend </w:t>
      </w:r>
      <w:r w:rsidR="00553E9B" w:rsidRPr="00FB34DB">
        <w:rPr>
          <w:rFonts w:ascii="Arial" w:hAnsi="Arial" w:cs="Arial"/>
          <w:sz w:val="21"/>
          <w:szCs w:val="21"/>
        </w:rPr>
        <w:t xml:space="preserve">enumerations for </w:t>
      </w:r>
      <w:hyperlink r:id="rId38" w:history="1">
        <w:r w:rsidR="00285237" w:rsidRPr="00FB34DB">
          <w:rPr>
            <w:rStyle w:val="Hyperlink"/>
            <w:rFonts w:ascii="Arial" w:hAnsi="Arial" w:cs="Arial"/>
            <w:sz w:val="21"/>
            <w:szCs w:val="21"/>
          </w:rPr>
          <w:t>valuationRules</w:t>
        </w:r>
      </w:hyperlink>
      <w:r w:rsidR="00285237" w:rsidRPr="00FB34DB">
        <w:rPr>
          <w:rFonts w:ascii="Arial" w:hAnsi="Arial" w:cs="Arial"/>
          <w:sz w:val="21"/>
          <w:szCs w:val="21"/>
        </w:rPr>
        <w:t>/</w:t>
      </w:r>
      <w:hyperlink r:id="rId39" w:history="1">
        <w:r w:rsidR="00285237" w:rsidRPr="00FB34DB">
          <w:rPr>
            <w:rStyle w:val="Hyperlink"/>
            <w:rFonts w:ascii="Arial" w:hAnsi="Arial" w:cs="Arial"/>
            <w:sz w:val="21"/>
            <w:szCs w:val="21"/>
          </w:rPr>
          <w:t>valuationTimeType</w:t>
        </w:r>
      </w:hyperlink>
      <w:r w:rsidR="005F6AD9" w:rsidRPr="00FB34DB">
        <w:rPr>
          <w:rFonts w:ascii="Arial" w:hAnsi="Arial" w:cs="Arial"/>
          <w:sz w:val="21"/>
          <w:szCs w:val="21"/>
        </w:rPr>
        <w:t xml:space="preserve"> to</w:t>
      </w:r>
      <w:r w:rsidR="00553E9B" w:rsidRPr="00FB34DB">
        <w:rPr>
          <w:rFonts w:ascii="Arial" w:hAnsi="Arial" w:cs="Arial"/>
          <w:sz w:val="21"/>
          <w:szCs w:val="21"/>
        </w:rPr>
        <w:t xml:space="preserve"> additionally</w:t>
      </w:r>
      <w:r w:rsidR="005F6AD9" w:rsidRPr="00FB34DB">
        <w:rPr>
          <w:rFonts w:ascii="Arial" w:hAnsi="Arial" w:cs="Arial"/>
          <w:sz w:val="21"/>
          <w:szCs w:val="21"/>
        </w:rPr>
        <w:t xml:space="preserve"> include</w:t>
      </w:r>
      <w:r w:rsidR="000F7C5A" w:rsidRPr="00FB34DB">
        <w:rPr>
          <w:rFonts w:ascii="Arial" w:hAnsi="Arial" w:cs="Arial"/>
          <w:sz w:val="21"/>
          <w:szCs w:val="21"/>
        </w:rPr>
        <w:t xml:space="preserve"> values -</w:t>
      </w:r>
    </w:p>
    <w:p w14:paraId="283E9ABF" w14:textId="7A9D00F2" w:rsidR="003D1EBA" w:rsidRPr="00FB34DB" w:rsidRDefault="003D1EBA" w:rsidP="00475EB8">
      <w:pPr>
        <w:pStyle w:val="ListParagraph"/>
        <w:numPr>
          <w:ilvl w:val="1"/>
          <w:numId w:val="10"/>
        </w:numPr>
        <w:rPr>
          <w:rFonts w:ascii="Arial" w:hAnsi="Arial" w:cs="Arial"/>
          <w:sz w:val="21"/>
          <w:szCs w:val="21"/>
        </w:rPr>
      </w:pPr>
      <w:r w:rsidRPr="00FB34DB">
        <w:rPr>
          <w:rFonts w:ascii="Arial" w:hAnsi="Arial" w:cs="Arial"/>
          <w:sz w:val="21"/>
          <w:szCs w:val="21"/>
        </w:rPr>
        <w:t xml:space="preserve">ExcludingClose – This </w:t>
      </w:r>
      <w:r w:rsidR="000F7C5A" w:rsidRPr="00FB34DB">
        <w:rPr>
          <w:rFonts w:ascii="Arial" w:hAnsi="Arial" w:cs="Arial"/>
          <w:sz w:val="21"/>
          <w:szCs w:val="21"/>
        </w:rPr>
        <w:t xml:space="preserve">is only applicable when determinationMethod is </w:t>
      </w:r>
      <w:r w:rsidR="00D92162" w:rsidRPr="00FB34DB">
        <w:rPr>
          <w:rFonts w:ascii="Arial" w:hAnsi="Arial" w:cs="Arial"/>
          <w:sz w:val="21"/>
          <w:szCs w:val="21"/>
        </w:rPr>
        <w:t>“</w:t>
      </w:r>
      <w:r w:rsidR="000F7C5A" w:rsidRPr="00FB34DB">
        <w:rPr>
          <w:rFonts w:ascii="Arial" w:hAnsi="Arial" w:cs="Arial"/>
          <w:sz w:val="21"/>
          <w:szCs w:val="21"/>
        </w:rPr>
        <w:t>VWAP VE Excluding Close</w:t>
      </w:r>
      <w:r w:rsidR="00D92162" w:rsidRPr="00FB34DB">
        <w:rPr>
          <w:rFonts w:ascii="Arial" w:hAnsi="Arial" w:cs="Arial"/>
          <w:sz w:val="21"/>
          <w:szCs w:val="21"/>
        </w:rPr>
        <w:t>” or “TWAP VE Excluding Close”</w:t>
      </w:r>
    </w:p>
    <w:p w14:paraId="2BDCD1CF" w14:textId="4B09306C" w:rsidR="00AB243A" w:rsidRPr="00FB34DB" w:rsidRDefault="004166F5" w:rsidP="00475EB8">
      <w:pPr>
        <w:pStyle w:val="ListParagraph"/>
        <w:numPr>
          <w:ilvl w:val="1"/>
          <w:numId w:val="10"/>
        </w:numPr>
        <w:rPr>
          <w:rFonts w:ascii="Arial" w:hAnsi="Arial" w:cs="Arial"/>
          <w:sz w:val="21"/>
          <w:szCs w:val="21"/>
        </w:rPr>
      </w:pPr>
      <w:commentRangeStart w:id="7"/>
      <w:r w:rsidRPr="00FB34DB">
        <w:rPr>
          <w:rFonts w:ascii="Arial" w:hAnsi="Arial" w:cs="Arial"/>
          <w:sz w:val="21"/>
          <w:szCs w:val="21"/>
        </w:rPr>
        <w:t>TimeSession</w:t>
      </w:r>
      <w:commentRangeEnd w:id="7"/>
      <w:r w:rsidR="00DF47ED" w:rsidRPr="00FB34DB">
        <w:rPr>
          <w:rStyle w:val="CommentReference"/>
          <w:rFonts w:ascii="Arial" w:hAnsi="Arial" w:cs="Arial"/>
          <w:sz w:val="21"/>
          <w:szCs w:val="21"/>
        </w:rPr>
        <w:commentReference w:id="7"/>
      </w:r>
      <w:r w:rsidRPr="00FB34DB">
        <w:rPr>
          <w:rFonts w:ascii="Arial" w:hAnsi="Arial" w:cs="Arial"/>
          <w:sz w:val="21"/>
          <w:szCs w:val="21"/>
        </w:rPr>
        <w:t xml:space="preserve">– Representing time-boxed session and only applicable </w:t>
      </w:r>
      <w:r w:rsidR="00745CFC" w:rsidRPr="00FB34DB">
        <w:rPr>
          <w:rFonts w:ascii="Arial" w:hAnsi="Arial" w:cs="Arial"/>
          <w:sz w:val="21"/>
          <w:szCs w:val="21"/>
        </w:rPr>
        <w:t>for TWAP VE.</w:t>
      </w:r>
    </w:p>
    <w:p w14:paraId="66EB4A76" w14:textId="3974E67F" w:rsidR="004D42C0" w:rsidRPr="00FB34DB" w:rsidRDefault="00172616" w:rsidP="00475EB8">
      <w:pPr>
        <w:pStyle w:val="ListParagraph"/>
        <w:numPr>
          <w:ilvl w:val="0"/>
          <w:numId w:val="10"/>
        </w:numPr>
        <w:rPr>
          <w:rFonts w:ascii="Arial" w:hAnsi="Arial" w:cs="Arial"/>
          <w:sz w:val="21"/>
          <w:szCs w:val="21"/>
        </w:rPr>
      </w:pPr>
      <w:r w:rsidRPr="00FB34DB">
        <w:rPr>
          <w:rFonts w:ascii="Arial" w:hAnsi="Arial" w:cs="Arial"/>
          <w:sz w:val="21"/>
          <w:szCs w:val="21"/>
        </w:rPr>
        <w:t xml:space="preserve">Add </w:t>
      </w:r>
      <w:r w:rsidR="007875FC" w:rsidRPr="00FB34DB">
        <w:rPr>
          <w:rFonts w:ascii="Arial" w:hAnsi="Arial" w:cs="Arial"/>
          <w:sz w:val="21"/>
          <w:szCs w:val="21"/>
        </w:rPr>
        <w:t xml:space="preserve">element </w:t>
      </w:r>
      <w:r w:rsidRPr="00FB34DB">
        <w:rPr>
          <w:rFonts w:ascii="Arial" w:hAnsi="Arial" w:cs="Arial"/>
          <w:sz w:val="21"/>
          <w:szCs w:val="21"/>
        </w:rPr>
        <w:t xml:space="preserve">valuationSession </w:t>
      </w:r>
      <w:r w:rsidR="00F366EC" w:rsidRPr="00FB34DB">
        <w:rPr>
          <w:rFonts w:ascii="Arial" w:hAnsi="Arial" w:cs="Arial"/>
          <w:sz w:val="21"/>
          <w:szCs w:val="21"/>
        </w:rPr>
        <w:t xml:space="preserve">in </w:t>
      </w:r>
      <w:hyperlink r:id="rId40" w:history="1">
        <w:r w:rsidR="00F366EC" w:rsidRPr="00FB34DB">
          <w:rPr>
            <w:rStyle w:val="Hyperlink"/>
            <w:rFonts w:ascii="Arial" w:hAnsi="Arial" w:cs="Arial"/>
            <w:sz w:val="21"/>
            <w:szCs w:val="21"/>
          </w:rPr>
          <w:t>valuationRules</w:t>
        </w:r>
      </w:hyperlink>
      <w:r w:rsidR="00F366EC" w:rsidRPr="00FB34DB">
        <w:rPr>
          <w:rFonts w:ascii="Arial" w:hAnsi="Arial" w:cs="Arial"/>
          <w:sz w:val="21"/>
          <w:szCs w:val="21"/>
        </w:rPr>
        <w:t xml:space="preserve"> </w:t>
      </w:r>
      <w:r w:rsidRPr="00FB34DB">
        <w:rPr>
          <w:rFonts w:ascii="Arial" w:hAnsi="Arial" w:cs="Arial"/>
          <w:sz w:val="21"/>
          <w:szCs w:val="21"/>
        </w:rPr>
        <w:t xml:space="preserve">to support </w:t>
      </w:r>
      <w:r w:rsidR="001373E5" w:rsidRPr="00FB34DB">
        <w:rPr>
          <w:rFonts w:ascii="Arial" w:hAnsi="Arial" w:cs="Arial"/>
          <w:sz w:val="21"/>
          <w:szCs w:val="21"/>
        </w:rPr>
        <w:t xml:space="preserve">defining time boxed session to </w:t>
      </w:r>
      <w:r w:rsidR="00F53225" w:rsidRPr="00FB34DB">
        <w:rPr>
          <w:rFonts w:ascii="Arial" w:hAnsi="Arial" w:cs="Arial"/>
          <w:sz w:val="21"/>
          <w:szCs w:val="21"/>
        </w:rPr>
        <w:t>compute TWAP VE.</w:t>
      </w:r>
      <w:r w:rsidR="00F8193B">
        <w:rPr>
          <w:rFonts w:ascii="Arial" w:hAnsi="Arial" w:cs="Arial"/>
          <w:sz w:val="21"/>
          <w:szCs w:val="21"/>
        </w:rPr>
        <w:t xml:space="preserve"> </w:t>
      </w:r>
    </w:p>
    <w:p w14:paraId="4A52188A" w14:textId="260FE5FD" w:rsidR="00BA5BAF" w:rsidRDefault="00274D06" w:rsidP="00B463AE">
      <w:pPr>
        <w:rPr>
          <w:noProof/>
        </w:rPr>
      </w:pPr>
      <w:r w:rsidRPr="00274D06">
        <w:rPr>
          <w:noProof/>
        </w:rPr>
        <w:t xml:space="preserve"> </w:t>
      </w:r>
      <w:r w:rsidR="00B463AE" w:rsidRPr="00B463AE">
        <w:rPr>
          <w:noProof/>
        </w:rPr>
        <w:drawing>
          <wp:inline distT="0" distB="0" distL="0" distR="0" wp14:anchorId="4AF6E1FB" wp14:editId="3E1B72A3">
            <wp:extent cx="5963037" cy="5120640"/>
            <wp:effectExtent l="19050" t="19050" r="19050" b="22860"/>
            <wp:docPr id="1900427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27980" name=""/>
                    <pic:cNvPicPr/>
                  </pic:nvPicPr>
                  <pic:blipFill>
                    <a:blip r:embed="rId41"/>
                    <a:stretch>
                      <a:fillRect/>
                    </a:stretch>
                  </pic:blipFill>
                  <pic:spPr>
                    <a:xfrm>
                      <a:off x="0" y="0"/>
                      <a:ext cx="5970277" cy="5126858"/>
                    </a:xfrm>
                    <a:prstGeom prst="rect">
                      <a:avLst/>
                    </a:prstGeom>
                    <a:ln>
                      <a:solidFill>
                        <a:schemeClr val="accent1"/>
                      </a:solidFill>
                    </a:ln>
                  </pic:spPr>
                </pic:pic>
              </a:graphicData>
            </a:graphic>
          </wp:inline>
        </w:drawing>
      </w:r>
    </w:p>
    <w:p w14:paraId="3C79D79B" w14:textId="664243B6" w:rsidR="007D57FC" w:rsidRPr="007D57FC" w:rsidRDefault="007D57FC" w:rsidP="007D57FC">
      <w:pPr>
        <w:rPr>
          <w:b/>
          <w:bCs/>
          <w:i/>
          <w:iCs/>
          <w:sz w:val="20"/>
          <w:szCs w:val="20"/>
          <w:u w:val="single"/>
        </w:rPr>
      </w:pPr>
      <w:r w:rsidRPr="006C25D9">
        <w:rPr>
          <w:b/>
          <w:bCs/>
          <w:i/>
          <w:iCs/>
          <w:sz w:val="20"/>
          <w:szCs w:val="20"/>
          <w:u w:val="single"/>
        </w:rPr>
        <w:t>Based on Harry’s recommendation</w:t>
      </w:r>
      <w:r>
        <w:rPr>
          <w:b/>
          <w:bCs/>
          <w:i/>
          <w:iCs/>
          <w:sz w:val="20"/>
          <w:szCs w:val="20"/>
          <w:u w:val="single"/>
        </w:rPr>
        <w:t xml:space="preserve"> – valuationTime and valuationSession is </w:t>
      </w:r>
      <w:r w:rsidR="00B306F2">
        <w:rPr>
          <w:b/>
          <w:bCs/>
          <w:i/>
          <w:iCs/>
          <w:sz w:val="20"/>
          <w:szCs w:val="20"/>
          <w:u w:val="single"/>
        </w:rPr>
        <w:t xml:space="preserve">now as a choice </w:t>
      </w:r>
      <w:r w:rsidR="00B81E5A">
        <w:rPr>
          <w:b/>
          <w:bCs/>
          <w:i/>
          <w:iCs/>
          <w:sz w:val="20"/>
          <w:szCs w:val="20"/>
          <w:u w:val="single"/>
        </w:rPr>
        <w:t>where only one can be selected</w:t>
      </w:r>
      <w:r w:rsidR="00201168">
        <w:rPr>
          <w:b/>
          <w:bCs/>
          <w:i/>
          <w:iCs/>
          <w:sz w:val="20"/>
          <w:szCs w:val="20"/>
          <w:u w:val="single"/>
        </w:rPr>
        <w:t xml:space="preserve"> when required.</w:t>
      </w:r>
      <w:r w:rsidR="002128A8">
        <w:rPr>
          <w:b/>
          <w:bCs/>
          <w:i/>
          <w:iCs/>
          <w:sz w:val="20"/>
          <w:szCs w:val="20"/>
          <w:u w:val="single"/>
        </w:rPr>
        <w:t xml:space="preserve"> Interval period is now restricted to show only hour/minute/second</w:t>
      </w:r>
      <w:r w:rsidR="004E25C0">
        <w:rPr>
          <w:b/>
          <w:bCs/>
          <w:i/>
          <w:iCs/>
          <w:sz w:val="20"/>
          <w:szCs w:val="20"/>
          <w:u w:val="single"/>
        </w:rPr>
        <w:t>.</w:t>
      </w:r>
    </w:p>
    <w:p w14:paraId="33546909" w14:textId="3FFE4830" w:rsidR="00281C30" w:rsidRPr="00632E68" w:rsidRDefault="00281C30" w:rsidP="0089413A">
      <w:pPr>
        <w:rPr>
          <w:rFonts w:ascii="Calibri" w:hAnsi="Calibri" w:cs="Calibri"/>
          <w:color w:val="000000"/>
        </w:rPr>
      </w:pPr>
      <w:r w:rsidRPr="00281C30">
        <w:rPr>
          <w:rFonts w:ascii="Calibri" w:hAnsi="Calibri" w:cs="Calibri"/>
          <w:color w:val="000000"/>
        </w:rPr>
        <w:t xml:space="preserve">Industry experts should assess if </w:t>
      </w:r>
      <w:r w:rsidRPr="00281C30">
        <w:rPr>
          <w:rFonts w:ascii="Calibri" w:hAnsi="Calibri" w:cs="Calibri"/>
          <w:i/>
          <w:color w:val="000000"/>
        </w:rPr>
        <w:t>SpecificTime</w:t>
      </w:r>
      <w:r w:rsidRPr="00281C30">
        <w:rPr>
          <w:rFonts w:ascii="Calibri" w:hAnsi="Calibri" w:cs="Calibri"/>
          <w:color w:val="000000"/>
        </w:rPr>
        <w:t xml:space="preserve"> matches </w:t>
      </w:r>
      <w:r w:rsidRPr="00281C30">
        <w:rPr>
          <w:rFonts w:ascii="Calibri" w:hAnsi="Calibri" w:cs="Calibri"/>
          <w:i/>
          <w:color w:val="000000"/>
        </w:rPr>
        <w:t>valuationSession</w:t>
      </w:r>
      <w:r w:rsidRPr="00281C30">
        <w:rPr>
          <w:rFonts w:ascii="Calibri" w:hAnsi="Calibri" w:cs="Calibri"/>
          <w:color w:val="000000"/>
        </w:rPr>
        <w:t xml:space="preserve">, or whether it is necessary to assign a distinct value such as </w:t>
      </w:r>
      <w:r w:rsidRPr="00281C30">
        <w:rPr>
          <w:rFonts w:ascii="Calibri" w:hAnsi="Calibri" w:cs="Calibri"/>
          <w:i/>
          <w:color w:val="000000"/>
        </w:rPr>
        <w:t>TimeSession</w:t>
      </w:r>
      <w:r w:rsidRPr="00281C30">
        <w:rPr>
          <w:rFonts w:ascii="Calibri" w:hAnsi="Calibri" w:cs="Calibri"/>
          <w:color w:val="000000"/>
        </w:rPr>
        <w:t>.</w:t>
      </w:r>
    </w:p>
    <w:p w14:paraId="0DF6E329" w14:textId="27808EC3" w:rsidR="007875FC" w:rsidRDefault="007875FC" w:rsidP="00475EB8">
      <w:pPr>
        <w:pStyle w:val="ListParagraph"/>
        <w:numPr>
          <w:ilvl w:val="0"/>
          <w:numId w:val="10"/>
        </w:numPr>
        <w:rPr>
          <w:rFonts w:ascii="Arial" w:hAnsi="Arial" w:cs="Arial"/>
          <w:sz w:val="21"/>
          <w:szCs w:val="21"/>
        </w:rPr>
      </w:pPr>
      <w:r w:rsidRPr="00DF3928">
        <w:rPr>
          <w:rFonts w:ascii="Arial" w:hAnsi="Arial" w:cs="Arial"/>
          <w:sz w:val="21"/>
          <w:szCs w:val="21"/>
        </w:rPr>
        <w:t>Include</w:t>
      </w:r>
      <w:r w:rsidR="00F53225" w:rsidRPr="00DF3928">
        <w:rPr>
          <w:rFonts w:ascii="Arial" w:hAnsi="Arial" w:cs="Arial"/>
          <w:sz w:val="21"/>
          <w:szCs w:val="21"/>
        </w:rPr>
        <w:t xml:space="preserve"> </w:t>
      </w:r>
      <w:r w:rsidRPr="00DF3928">
        <w:rPr>
          <w:rFonts w:ascii="Arial" w:hAnsi="Arial" w:cs="Arial"/>
          <w:sz w:val="21"/>
          <w:szCs w:val="21"/>
        </w:rPr>
        <w:t xml:space="preserve">element </w:t>
      </w:r>
      <w:r w:rsidR="00F53225" w:rsidRPr="00DF3928">
        <w:rPr>
          <w:rFonts w:ascii="Arial" w:hAnsi="Arial" w:cs="Arial"/>
          <w:sz w:val="21"/>
          <w:szCs w:val="21"/>
        </w:rPr>
        <w:t xml:space="preserve">informationSource to </w:t>
      </w:r>
      <w:hyperlink r:id="rId42" w:history="1">
        <w:r w:rsidRPr="00DF3928">
          <w:rPr>
            <w:rStyle w:val="Hyperlink"/>
            <w:rFonts w:ascii="Arial" w:hAnsi="Arial" w:cs="Arial"/>
            <w:sz w:val="21"/>
            <w:szCs w:val="21"/>
          </w:rPr>
          <w:t>valuationRules</w:t>
        </w:r>
      </w:hyperlink>
      <w:r w:rsidRPr="00DF3928">
        <w:rPr>
          <w:rFonts w:ascii="Arial" w:hAnsi="Arial" w:cs="Arial"/>
          <w:sz w:val="21"/>
          <w:szCs w:val="21"/>
        </w:rPr>
        <w:t xml:space="preserve"> for easier representation.</w:t>
      </w:r>
    </w:p>
    <w:p w14:paraId="6030845B" w14:textId="4B8A7766" w:rsidR="00B3677C" w:rsidRPr="00B3677C" w:rsidRDefault="00B3677C" w:rsidP="00B3677C">
      <w:pPr>
        <w:pStyle w:val="ListParagraph"/>
        <w:numPr>
          <w:ilvl w:val="0"/>
          <w:numId w:val="10"/>
        </w:numPr>
        <w:rPr>
          <w:sz w:val="20"/>
          <w:szCs w:val="20"/>
        </w:rPr>
      </w:pPr>
      <w:r w:rsidRPr="00B3677C">
        <w:rPr>
          <w:sz w:val="20"/>
          <w:szCs w:val="20"/>
          <w:u w:val="single"/>
        </w:rPr>
        <w:lastRenderedPageBreak/>
        <w:t>Example</w:t>
      </w:r>
      <w:r w:rsidRPr="00F532C2">
        <w:rPr>
          <w:noProof/>
        </w:rPr>
        <w:t xml:space="preserve"> </w:t>
      </w:r>
      <w:r w:rsidR="00906BB9" w:rsidRPr="00906BB9">
        <w:rPr>
          <w:noProof/>
        </w:rPr>
        <w:drawing>
          <wp:inline distT="0" distB="0" distL="0" distR="0" wp14:anchorId="1A135DD2" wp14:editId="764D7C02">
            <wp:extent cx="4850296" cy="2763899"/>
            <wp:effectExtent l="19050" t="19050" r="26670" b="17780"/>
            <wp:docPr id="2057487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87211" name=""/>
                    <pic:cNvPicPr/>
                  </pic:nvPicPr>
                  <pic:blipFill>
                    <a:blip r:embed="rId43"/>
                    <a:stretch>
                      <a:fillRect/>
                    </a:stretch>
                  </pic:blipFill>
                  <pic:spPr>
                    <a:xfrm>
                      <a:off x="0" y="0"/>
                      <a:ext cx="4855696" cy="2766976"/>
                    </a:xfrm>
                    <a:prstGeom prst="rect">
                      <a:avLst/>
                    </a:prstGeom>
                    <a:ln>
                      <a:solidFill>
                        <a:schemeClr val="accent1"/>
                      </a:solidFill>
                    </a:ln>
                  </pic:spPr>
                </pic:pic>
              </a:graphicData>
            </a:graphic>
          </wp:inline>
        </w:drawing>
      </w:r>
    </w:p>
    <w:p w14:paraId="1F28C170" w14:textId="77777777" w:rsidR="00632E68" w:rsidRDefault="00632E68" w:rsidP="00632E68">
      <w:pPr>
        <w:rPr>
          <w:rFonts w:ascii="Arial" w:hAnsi="Arial" w:cs="Arial"/>
          <w:sz w:val="21"/>
          <w:szCs w:val="21"/>
        </w:rPr>
      </w:pPr>
    </w:p>
    <w:p w14:paraId="775B48A6" w14:textId="77777777" w:rsidR="00434EDA" w:rsidRPr="003229CE" w:rsidRDefault="00434EDA" w:rsidP="00434EDA">
      <w:pPr>
        <w:pStyle w:val="Heading2"/>
        <w:rPr>
          <w:sz w:val="24"/>
          <w:szCs w:val="24"/>
        </w:rPr>
      </w:pPr>
      <w:r w:rsidRPr="003229CE">
        <w:rPr>
          <w:sz w:val="24"/>
          <w:szCs w:val="24"/>
        </w:rPr>
        <w:t>Applicability Condition</w:t>
      </w:r>
    </w:p>
    <w:p w14:paraId="7B1B9B21" w14:textId="078C5A4F" w:rsidR="00CE75D5" w:rsidRPr="00F91100" w:rsidRDefault="00DA1097" w:rsidP="00F91100">
      <w:pPr>
        <w:ind w:left="360"/>
        <w:rPr>
          <w:rFonts w:ascii="Arial" w:hAnsi="Arial" w:cs="Arial"/>
          <w:sz w:val="21"/>
          <w:szCs w:val="21"/>
        </w:rPr>
      </w:pPr>
      <w:r w:rsidRPr="00F91100">
        <w:rPr>
          <w:rFonts w:ascii="Arial" w:hAnsi="Arial" w:cs="Arial"/>
          <w:sz w:val="21"/>
          <w:szCs w:val="21"/>
        </w:rPr>
        <w:t>These price mechanisms are relevant to share transactions only</w:t>
      </w:r>
      <w:r w:rsidR="00A2059C" w:rsidRPr="00F91100">
        <w:rPr>
          <w:rFonts w:ascii="Arial" w:hAnsi="Arial" w:cs="Arial"/>
          <w:sz w:val="21"/>
          <w:szCs w:val="21"/>
        </w:rPr>
        <w:t xml:space="preserve">, i.e where </w:t>
      </w:r>
      <w:r w:rsidRPr="00F91100">
        <w:rPr>
          <w:rFonts w:ascii="Arial" w:hAnsi="Arial" w:cs="Arial"/>
          <w:sz w:val="21"/>
          <w:szCs w:val="21"/>
        </w:rPr>
        <w:t>underlyer=singleUnderlier=equity, or basketConstituent=equity</w:t>
      </w:r>
    </w:p>
    <w:p w14:paraId="7E2F30CE" w14:textId="77777777" w:rsidR="00A2059C" w:rsidRPr="00F91100" w:rsidRDefault="00A2059C" w:rsidP="00A2059C">
      <w:pPr>
        <w:ind w:left="360"/>
        <w:rPr>
          <w:rFonts w:ascii="Arial" w:hAnsi="Arial" w:cs="Arial"/>
          <w:sz w:val="21"/>
          <w:szCs w:val="21"/>
        </w:rPr>
      </w:pPr>
      <w:r w:rsidRPr="00F91100">
        <w:rPr>
          <w:rFonts w:ascii="Arial" w:hAnsi="Arial" w:cs="Arial"/>
          <w:sz w:val="21"/>
          <w:szCs w:val="21"/>
        </w:rPr>
        <w:t>These will be reflected as new business validation rules.</w:t>
      </w:r>
    </w:p>
    <w:p w14:paraId="472E1891" w14:textId="7A42CA7B" w:rsidR="00082A92" w:rsidRPr="003229CE" w:rsidRDefault="00CE75D5" w:rsidP="00C35D15">
      <w:pPr>
        <w:pStyle w:val="Heading1"/>
        <w:rPr>
          <w:sz w:val="32"/>
          <w:szCs w:val="32"/>
          <w:u w:val="single"/>
        </w:rPr>
      </w:pPr>
      <w:bookmarkStart w:id="8" w:name="_Toc223723266"/>
      <w:r w:rsidRPr="003229CE">
        <w:rPr>
          <w:sz w:val="32"/>
          <w:szCs w:val="32"/>
        </w:rPr>
        <w:t>Separate Valuation/Combined Calculation</w:t>
      </w:r>
      <w:bookmarkEnd w:id="8"/>
    </w:p>
    <w:p w14:paraId="4A9481E7" w14:textId="476E2B74" w:rsidR="00CE75D5" w:rsidRPr="003229CE" w:rsidRDefault="00CE75D5" w:rsidP="006963B1">
      <w:pPr>
        <w:pStyle w:val="Heading2"/>
        <w:rPr>
          <w:sz w:val="24"/>
          <w:szCs w:val="24"/>
        </w:rPr>
      </w:pPr>
      <w:r w:rsidRPr="003229CE">
        <w:rPr>
          <w:sz w:val="24"/>
          <w:szCs w:val="24"/>
        </w:rPr>
        <w:t>Equity Definitions VE Confirmation extract:</w:t>
      </w:r>
    </w:p>
    <w:p w14:paraId="4D7E18DB" w14:textId="185FB475" w:rsidR="00CE75D5" w:rsidRPr="003229CE" w:rsidRDefault="00CE75D5" w:rsidP="00CE75D5">
      <w:pPr>
        <w:rPr>
          <w:b/>
          <w:bCs/>
          <w:sz w:val="20"/>
          <w:szCs w:val="20"/>
        </w:rPr>
      </w:pPr>
      <w:r w:rsidRPr="003229CE">
        <w:rPr>
          <w:b/>
          <w:noProof/>
          <w:sz w:val="20"/>
          <w:szCs w:val="20"/>
        </w:rPr>
        <w:drawing>
          <wp:inline distT="0" distB="0" distL="0" distR="0" wp14:anchorId="619E4342" wp14:editId="4C14D497">
            <wp:extent cx="5943600" cy="747395"/>
            <wp:effectExtent l="0" t="0" r="0" b="0"/>
            <wp:docPr id="782019324" name="Picture 9" descr="A screenshot of a computer&#10;&#10;AI-generated content may be incorrect.">
              <a:extLst xmlns:a="http://schemas.openxmlformats.org/drawingml/2006/main">
                <a:ext uri="{FF2B5EF4-FFF2-40B4-BE49-F238E27FC236}">
                  <a16:creationId xmlns:a16="http://schemas.microsoft.com/office/drawing/2014/main" id="{EE66963F-E313-4882-9B39-AD26D200EA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19324" name="Picture 9" descr="A screenshot of a computer&#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747395"/>
                    </a:xfrm>
                    <a:prstGeom prst="rect">
                      <a:avLst/>
                    </a:prstGeom>
                    <a:noFill/>
                    <a:ln>
                      <a:noFill/>
                    </a:ln>
                  </pic:spPr>
                </pic:pic>
              </a:graphicData>
            </a:graphic>
          </wp:inline>
        </w:drawing>
      </w:r>
    </w:p>
    <w:p w14:paraId="2DA150BA" w14:textId="273E447C" w:rsidR="00B8243B" w:rsidRPr="00F91100" w:rsidRDefault="00C41400" w:rsidP="00DA5ACB">
      <w:pPr>
        <w:rPr>
          <w:rFonts w:ascii="Arial" w:hAnsi="Arial" w:cs="Arial"/>
          <w:sz w:val="21"/>
          <w:szCs w:val="21"/>
        </w:rPr>
      </w:pPr>
      <w:r w:rsidRPr="00F91100">
        <w:rPr>
          <w:rFonts w:ascii="Arial" w:hAnsi="Arial" w:cs="Arial"/>
          <w:sz w:val="21"/>
          <w:szCs w:val="21"/>
        </w:rPr>
        <w:t>T</w:t>
      </w:r>
      <w:r w:rsidR="00B8243B" w:rsidRPr="00F91100">
        <w:rPr>
          <w:rFonts w:ascii="Arial" w:hAnsi="Arial" w:cs="Arial"/>
          <w:sz w:val="21"/>
          <w:szCs w:val="21"/>
        </w:rPr>
        <w:t xml:space="preserve">he </w:t>
      </w:r>
      <w:r w:rsidR="00B8243B" w:rsidRPr="00F91100">
        <w:rPr>
          <w:rFonts w:ascii="Arial" w:hAnsi="Arial" w:cs="Arial"/>
          <w:b/>
          <w:bCs/>
          <w:sz w:val="21"/>
          <w:szCs w:val="21"/>
        </w:rPr>
        <w:t>“separate valuation / combined calculation”</w:t>
      </w:r>
      <w:r w:rsidR="00B8243B" w:rsidRPr="00F91100">
        <w:rPr>
          <w:rFonts w:ascii="Arial" w:hAnsi="Arial" w:cs="Arial"/>
          <w:sz w:val="21"/>
          <w:szCs w:val="21"/>
        </w:rPr>
        <w:t xml:space="preserve"> provisions </w:t>
      </w:r>
      <w:r w:rsidR="00FD57B4">
        <w:rPr>
          <w:rFonts w:ascii="Arial" w:hAnsi="Arial" w:cs="Arial"/>
          <w:sz w:val="21"/>
          <w:szCs w:val="21"/>
        </w:rPr>
        <w:t>are relevant</w:t>
      </w:r>
      <w:r w:rsidR="00FD57B4" w:rsidRPr="00F91100">
        <w:rPr>
          <w:rFonts w:ascii="Arial" w:hAnsi="Arial" w:cs="Arial"/>
          <w:sz w:val="21"/>
          <w:szCs w:val="21"/>
        </w:rPr>
        <w:t xml:space="preserve"> </w:t>
      </w:r>
      <w:r w:rsidR="00B8243B" w:rsidRPr="00F91100">
        <w:rPr>
          <w:rFonts w:ascii="Arial" w:hAnsi="Arial" w:cs="Arial"/>
          <w:sz w:val="21"/>
          <w:szCs w:val="21"/>
        </w:rPr>
        <w:t xml:space="preserve">to </w:t>
      </w:r>
      <w:r w:rsidR="00B8243B" w:rsidRPr="00F91100">
        <w:rPr>
          <w:rFonts w:ascii="Arial" w:hAnsi="Arial" w:cs="Arial"/>
          <w:b/>
          <w:bCs/>
          <w:sz w:val="21"/>
          <w:szCs w:val="21"/>
        </w:rPr>
        <w:t>basket transactions</w:t>
      </w:r>
      <w:r w:rsidR="00B8243B" w:rsidRPr="00F91100">
        <w:rPr>
          <w:rFonts w:ascii="Arial" w:hAnsi="Arial" w:cs="Arial"/>
          <w:sz w:val="21"/>
          <w:szCs w:val="21"/>
        </w:rPr>
        <w:t>:</w:t>
      </w:r>
    </w:p>
    <w:p w14:paraId="20A2BFBF" w14:textId="77777777" w:rsidR="00B8243B" w:rsidRPr="00F91100" w:rsidRDefault="00B8243B" w:rsidP="00475EB8">
      <w:pPr>
        <w:numPr>
          <w:ilvl w:val="0"/>
          <w:numId w:val="11"/>
        </w:numPr>
        <w:rPr>
          <w:rFonts w:ascii="Arial" w:hAnsi="Arial" w:cs="Arial"/>
          <w:sz w:val="21"/>
          <w:szCs w:val="21"/>
        </w:rPr>
      </w:pPr>
      <w:r w:rsidRPr="00F91100">
        <w:rPr>
          <w:rFonts w:ascii="Arial" w:hAnsi="Arial" w:cs="Arial"/>
          <w:sz w:val="21"/>
          <w:szCs w:val="21"/>
        </w:rPr>
        <w:t xml:space="preserve">The provisions allow the calculation agent to </w:t>
      </w:r>
      <w:r w:rsidRPr="00F91100">
        <w:rPr>
          <w:rFonts w:ascii="Arial" w:hAnsi="Arial" w:cs="Arial"/>
          <w:b/>
          <w:bCs/>
          <w:sz w:val="21"/>
          <w:szCs w:val="21"/>
        </w:rPr>
        <w:t>value basket constituents separately</w:t>
      </w:r>
      <w:r w:rsidRPr="00F91100">
        <w:rPr>
          <w:rFonts w:ascii="Arial" w:hAnsi="Arial" w:cs="Arial"/>
          <w:sz w:val="21"/>
          <w:szCs w:val="21"/>
        </w:rPr>
        <w:t xml:space="preserve"> when certain components cannot be valued on a given valuation date (e.g. local holiday or market disruption).</w:t>
      </w:r>
    </w:p>
    <w:p w14:paraId="1EA2C380" w14:textId="77777777" w:rsidR="00B8243B" w:rsidRPr="00F91100" w:rsidRDefault="00B8243B" w:rsidP="00475EB8">
      <w:pPr>
        <w:numPr>
          <w:ilvl w:val="0"/>
          <w:numId w:val="11"/>
        </w:numPr>
        <w:rPr>
          <w:rFonts w:ascii="Arial" w:hAnsi="Arial" w:cs="Arial"/>
          <w:sz w:val="21"/>
          <w:szCs w:val="21"/>
        </w:rPr>
      </w:pPr>
      <w:r w:rsidRPr="00F91100">
        <w:rPr>
          <w:rFonts w:ascii="Arial" w:hAnsi="Arial" w:cs="Arial"/>
          <w:sz w:val="21"/>
          <w:szCs w:val="21"/>
        </w:rPr>
        <w:t xml:space="preserve">They also cover: </w:t>
      </w:r>
    </w:p>
    <w:p w14:paraId="2EBA365E" w14:textId="77777777" w:rsidR="00C41400" w:rsidRPr="00F91100" w:rsidRDefault="00B8243B" w:rsidP="00475EB8">
      <w:pPr>
        <w:numPr>
          <w:ilvl w:val="1"/>
          <w:numId w:val="11"/>
        </w:numPr>
        <w:rPr>
          <w:rFonts w:ascii="Arial" w:hAnsi="Arial" w:cs="Arial"/>
          <w:sz w:val="21"/>
          <w:szCs w:val="21"/>
        </w:rPr>
      </w:pPr>
      <w:r w:rsidRPr="00F91100">
        <w:rPr>
          <w:rFonts w:ascii="Arial" w:hAnsi="Arial" w:cs="Arial"/>
          <w:sz w:val="21"/>
          <w:szCs w:val="21"/>
        </w:rPr>
        <w:t xml:space="preserve">Whether </w:t>
      </w:r>
      <w:r w:rsidRPr="00F91100">
        <w:rPr>
          <w:rFonts w:ascii="Arial" w:hAnsi="Arial" w:cs="Arial"/>
          <w:b/>
          <w:bCs/>
          <w:sz w:val="21"/>
          <w:szCs w:val="21"/>
        </w:rPr>
        <w:t>adjustments</w:t>
      </w:r>
      <w:r w:rsidRPr="00F91100">
        <w:rPr>
          <w:rFonts w:ascii="Arial" w:hAnsi="Arial" w:cs="Arial"/>
          <w:sz w:val="21"/>
          <w:szCs w:val="21"/>
        </w:rPr>
        <w:t xml:space="preserve"> and </w:t>
      </w:r>
      <w:r w:rsidRPr="00F91100">
        <w:rPr>
          <w:rFonts w:ascii="Arial" w:hAnsi="Arial" w:cs="Arial"/>
          <w:b/>
          <w:bCs/>
          <w:sz w:val="21"/>
          <w:szCs w:val="21"/>
        </w:rPr>
        <w:t>extraordinary events</w:t>
      </w:r>
      <w:r w:rsidRPr="00F91100">
        <w:rPr>
          <w:rFonts w:ascii="Arial" w:hAnsi="Arial" w:cs="Arial"/>
          <w:sz w:val="21"/>
          <w:szCs w:val="21"/>
        </w:rPr>
        <w:t xml:space="preserve"> are applied </w:t>
      </w:r>
      <w:r w:rsidRPr="00F91100">
        <w:rPr>
          <w:rFonts w:ascii="Arial" w:hAnsi="Arial" w:cs="Arial"/>
          <w:b/>
          <w:bCs/>
          <w:sz w:val="21"/>
          <w:szCs w:val="21"/>
        </w:rPr>
        <w:t>per component</w:t>
      </w:r>
      <w:r w:rsidRPr="00F91100">
        <w:rPr>
          <w:rFonts w:ascii="Arial" w:hAnsi="Arial" w:cs="Arial"/>
          <w:sz w:val="21"/>
          <w:szCs w:val="21"/>
        </w:rPr>
        <w:t>, and</w:t>
      </w:r>
    </w:p>
    <w:p w14:paraId="24EE7932" w14:textId="79930621" w:rsidR="00244C6C" w:rsidRPr="003229CE" w:rsidRDefault="00B8243B" w:rsidP="00475EB8">
      <w:pPr>
        <w:numPr>
          <w:ilvl w:val="1"/>
          <w:numId w:val="11"/>
        </w:numPr>
        <w:rPr>
          <w:sz w:val="20"/>
          <w:szCs w:val="20"/>
        </w:rPr>
      </w:pPr>
      <w:r w:rsidRPr="00F91100">
        <w:rPr>
          <w:rFonts w:ascii="Arial" w:hAnsi="Arial" w:cs="Arial"/>
          <w:sz w:val="21"/>
          <w:szCs w:val="21"/>
        </w:rPr>
        <w:t xml:space="preserve">Whether </w:t>
      </w:r>
      <w:r w:rsidRPr="00F91100">
        <w:rPr>
          <w:rFonts w:ascii="Arial" w:hAnsi="Arial" w:cs="Arial"/>
          <w:b/>
          <w:bCs/>
          <w:sz w:val="21"/>
          <w:szCs w:val="21"/>
        </w:rPr>
        <w:t>staggered settlement</w:t>
      </w:r>
      <w:r w:rsidRPr="00F91100">
        <w:rPr>
          <w:rFonts w:ascii="Arial" w:hAnsi="Arial" w:cs="Arial"/>
          <w:sz w:val="21"/>
          <w:szCs w:val="21"/>
        </w:rPr>
        <w:t xml:space="preserve"> may be used (e.g. settling </w:t>
      </w:r>
      <w:r w:rsidR="00FD57B4">
        <w:rPr>
          <w:rFonts w:ascii="Arial" w:hAnsi="Arial" w:cs="Arial"/>
          <w:sz w:val="21"/>
          <w:szCs w:val="21"/>
        </w:rPr>
        <w:t xml:space="preserve">cashflows in respect of </w:t>
      </w:r>
      <w:r w:rsidRPr="00F91100">
        <w:rPr>
          <w:rFonts w:ascii="Arial" w:hAnsi="Arial" w:cs="Arial"/>
          <w:sz w:val="21"/>
          <w:szCs w:val="21"/>
        </w:rPr>
        <w:t>some components earlier than others).</w:t>
      </w:r>
    </w:p>
    <w:p w14:paraId="36BC3BE2" w14:textId="3D6EB40D" w:rsidR="00244C6C" w:rsidRPr="003229CE" w:rsidRDefault="00244C6C" w:rsidP="00244C6C">
      <w:pPr>
        <w:pStyle w:val="Heading2"/>
        <w:rPr>
          <w:sz w:val="24"/>
          <w:szCs w:val="24"/>
        </w:rPr>
      </w:pPr>
      <w:r w:rsidRPr="003229CE">
        <w:rPr>
          <w:sz w:val="24"/>
          <w:szCs w:val="24"/>
        </w:rPr>
        <w:lastRenderedPageBreak/>
        <w:t>FpML schema:</w:t>
      </w:r>
    </w:p>
    <w:p w14:paraId="480F1A4F" w14:textId="77777777" w:rsidR="00354A88" w:rsidRPr="00F91100" w:rsidRDefault="00354A88" w:rsidP="00354A88">
      <w:pPr>
        <w:rPr>
          <w:rStyle w:val="Strong"/>
          <w:rFonts w:ascii="Arial" w:hAnsi="Arial" w:cs="Arial"/>
          <w:b w:val="0"/>
          <w:bCs w:val="0"/>
          <w:sz w:val="21"/>
          <w:szCs w:val="21"/>
          <w:u w:val="single"/>
        </w:rPr>
      </w:pPr>
      <w:r w:rsidRPr="00F91100">
        <w:rPr>
          <w:rStyle w:val="Strong"/>
          <w:rFonts w:ascii="Arial" w:hAnsi="Arial" w:cs="Arial"/>
          <w:b w:val="0"/>
          <w:bCs w:val="0"/>
          <w:sz w:val="21"/>
          <w:szCs w:val="21"/>
          <w:u w:val="single"/>
        </w:rPr>
        <w:t>Node representation of this optional attribute</w:t>
      </w:r>
    </w:p>
    <w:p w14:paraId="41087510" w14:textId="56089651" w:rsidR="00EB4384" w:rsidRDefault="006C4ED2" w:rsidP="008F6EF2">
      <w:pPr>
        <w:rPr>
          <w:rFonts w:ascii="Arial" w:hAnsi="Arial" w:cs="Arial"/>
          <w:sz w:val="21"/>
          <w:szCs w:val="21"/>
        </w:rPr>
      </w:pPr>
      <w:r w:rsidRPr="00F91100">
        <w:rPr>
          <w:rFonts w:ascii="Arial" w:hAnsi="Arial" w:cs="Arial"/>
          <w:sz w:val="21"/>
          <w:szCs w:val="21"/>
        </w:rPr>
        <w:t>U</w:t>
      </w:r>
      <w:r w:rsidR="003866E1" w:rsidRPr="00F91100">
        <w:rPr>
          <w:rFonts w:ascii="Arial" w:hAnsi="Arial" w:cs="Arial"/>
          <w:sz w:val="21"/>
          <w:szCs w:val="21"/>
        </w:rPr>
        <w:t xml:space="preserve">nder </w:t>
      </w:r>
      <w:hyperlink r:id="rId45" w:history="1">
        <w:r w:rsidR="00FC39A7" w:rsidRPr="00F91100">
          <w:rPr>
            <w:rStyle w:val="Hyperlink"/>
            <w:rFonts w:ascii="Arial" w:hAnsi="Arial" w:cs="Arial"/>
            <w:sz w:val="21"/>
            <w:szCs w:val="21"/>
          </w:rPr>
          <w:t>ValuationRules</w:t>
        </w:r>
      </w:hyperlink>
      <w:r w:rsidR="00FC39A7" w:rsidRPr="00F91100">
        <w:rPr>
          <w:rFonts w:ascii="Arial" w:hAnsi="Arial" w:cs="Arial"/>
          <w:sz w:val="21"/>
          <w:szCs w:val="21"/>
        </w:rPr>
        <w:t xml:space="preserve"> </w:t>
      </w:r>
      <w:r w:rsidR="003866E1" w:rsidRPr="00F91100">
        <w:rPr>
          <w:rFonts w:ascii="Arial" w:hAnsi="Arial" w:cs="Arial"/>
          <w:sz w:val="21"/>
          <w:szCs w:val="21"/>
        </w:rPr>
        <w:t>seems to be the most appropriate place</w:t>
      </w:r>
      <w:r w:rsidR="00914247" w:rsidRPr="00F91100">
        <w:rPr>
          <w:rFonts w:ascii="Arial" w:hAnsi="Arial" w:cs="Arial"/>
          <w:sz w:val="21"/>
          <w:szCs w:val="21"/>
        </w:rPr>
        <w:t>.</w:t>
      </w:r>
    </w:p>
    <w:p w14:paraId="598DD745" w14:textId="77777777" w:rsidR="00B76B48" w:rsidRPr="004F3F8D" w:rsidRDefault="00B76B48" w:rsidP="00B76B48">
      <w:pPr>
        <w:pStyle w:val="Heading3"/>
        <w:rPr>
          <w:rStyle w:val="IntenseEmphasis"/>
          <w:b/>
          <w:bCs/>
          <w:i w:val="0"/>
          <w:iCs w:val="0"/>
        </w:rPr>
      </w:pPr>
      <w:r w:rsidRPr="004F3F8D">
        <w:rPr>
          <w:rFonts w:ascii="Calibri Light" w:hAnsi="Calibri Light" w:cs="Calibri Light"/>
          <w:b/>
          <w:bCs/>
          <w:color w:val="2F5496"/>
          <w:sz w:val="24"/>
        </w:rPr>
        <w:t>Implemented in FpML</w:t>
      </w:r>
    </w:p>
    <w:p w14:paraId="07FD2999" w14:textId="5B12CC1D" w:rsidR="002F6AB7" w:rsidRPr="00365C63" w:rsidRDefault="002F6AB7" w:rsidP="002F6AB7">
      <w:pPr>
        <w:rPr>
          <w:rStyle w:val="IntenseEmphasis"/>
        </w:rPr>
      </w:pPr>
      <w:r w:rsidRPr="00365C63">
        <w:rPr>
          <w:rStyle w:val="IntenseEmphasis"/>
        </w:rPr>
        <w:t xml:space="preserve">XAPWG recommends that this </w:t>
      </w:r>
      <w:r w:rsidR="0064717B">
        <w:rPr>
          <w:rStyle w:val="IntenseEmphasis"/>
        </w:rPr>
        <w:t xml:space="preserve">feature </w:t>
      </w:r>
      <w:r w:rsidRPr="00365C63">
        <w:rPr>
          <w:rStyle w:val="IntenseEmphasis"/>
        </w:rPr>
        <w:t xml:space="preserve">should </w:t>
      </w:r>
      <w:r w:rsidR="00F34233">
        <w:rPr>
          <w:rStyle w:val="IntenseEmphasis"/>
        </w:rPr>
        <w:t>be</w:t>
      </w:r>
      <w:r w:rsidRPr="00365C63">
        <w:rPr>
          <w:rStyle w:val="IntenseEmphasis"/>
        </w:rPr>
        <w:t xml:space="preserve"> Applicable and Not Applicable as choice. Applicable choice then can be specified with </w:t>
      </w:r>
      <w:r w:rsidR="00F34233" w:rsidRPr="00365C63">
        <w:rPr>
          <w:rStyle w:val="IntenseEmphasis"/>
        </w:rPr>
        <w:t>added</w:t>
      </w:r>
      <w:r w:rsidRPr="00365C63">
        <w:rPr>
          <w:rStyle w:val="IntenseEmphasis"/>
        </w:rPr>
        <w:t xml:space="preserve"> Applicability</w:t>
      </w:r>
      <w:r w:rsidR="0094309A" w:rsidRPr="00365C63">
        <w:rPr>
          <w:rStyle w:val="IntenseEmphasis"/>
        </w:rPr>
        <w:t xml:space="preserve"> condition(s)</w:t>
      </w:r>
      <w:r w:rsidRPr="00365C63">
        <w:rPr>
          <w:rStyle w:val="IntenseEmphasis"/>
        </w:rPr>
        <w:t xml:space="preserve"> under option</w:t>
      </w:r>
      <w:r w:rsidR="00A6511A" w:rsidRPr="00365C63">
        <w:rPr>
          <w:rStyle w:val="IntenseEmphasis"/>
        </w:rPr>
        <w:t>al</w:t>
      </w:r>
      <w:r w:rsidRPr="00365C63">
        <w:rPr>
          <w:rStyle w:val="IntenseEmphasis"/>
        </w:rPr>
        <w:t xml:space="preserve"> </w:t>
      </w:r>
      <w:r w:rsidR="00A6511A" w:rsidRPr="00365C63">
        <w:rPr>
          <w:rStyle w:val="IntenseEmphasis"/>
        </w:rPr>
        <w:t xml:space="preserve">recurring </w:t>
      </w:r>
      <w:r w:rsidRPr="00365C63">
        <w:rPr>
          <w:rStyle w:val="IntenseEmphasis"/>
        </w:rPr>
        <w:t xml:space="preserve">element </w:t>
      </w:r>
      <w:r w:rsidR="00C63C8B">
        <w:rPr>
          <w:rStyle w:val="IntenseEmphasis"/>
        </w:rPr>
        <w:t>a</w:t>
      </w:r>
      <w:r w:rsidRPr="00365C63">
        <w:rPr>
          <w:rStyle w:val="IntenseEmphasis"/>
        </w:rPr>
        <w:t>pplicability –</w:t>
      </w:r>
    </w:p>
    <w:p w14:paraId="1631945F" w14:textId="77777777" w:rsidR="002F6AB7" w:rsidRPr="00365C63" w:rsidRDefault="002F6AB7" w:rsidP="002F6AB7">
      <w:pPr>
        <w:pStyle w:val="ListParagraph"/>
        <w:numPr>
          <w:ilvl w:val="0"/>
          <w:numId w:val="14"/>
        </w:numPr>
        <w:rPr>
          <w:rStyle w:val="IntenseEmphasis"/>
        </w:rPr>
      </w:pPr>
      <w:r w:rsidRPr="00365C63">
        <w:rPr>
          <w:rStyle w:val="IntenseEmphasis"/>
        </w:rPr>
        <w:t>AdjustmentsAndExtraordinaryEvents</w:t>
      </w:r>
    </w:p>
    <w:p w14:paraId="0715C66C" w14:textId="77777777" w:rsidR="002F6AB7" w:rsidRPr="00365C63" w:rsidRDefault="002F6AB7" w:rsidP="002F6AB7">
      <w:pPr>
        <w:pStyle w:val="ListParagraph"/>
        <w:numPr>
          <w:ilvl w:val="0"/>
          <w:numId w:val="14"/>
        </w:numPr>
        <w:rPr>
          <w:rStyle w:val="IntenseEmphasis"/>
        </w:rPr>
      </w:pPr>
      <w:r w:rsidRPr="00365C63">
        <w:rPr>
          <w:rStyle w:val="IntenseEmphasis"/>
        </w:rPr>
        <w:t>StaggeredSettlement</w:t>
      </w:r>
    </w:p>
    <w:p w14:paraId="4A34C827" w14:textId="13FA3F9A" w:rsidR="00EB4384" w:rsidRPr="006C25D9" w:rsidRDefault="00F01652" w:rsidP="003866E1">
      <w:pPr>
        <w:rPr>
          <w:b/>
          <w:bCs/>
          <w:i/>
          <w:iCs/>
          <w:sz w:val="20"/>
          <w:szCs w:val="20"/>
          <w:u w:val="single"/>
        </w:rPr>
      </w:pPr>
      <w:r w:rsidRPr="006C25D9">
        <w:rPr>
          <w:b/>
          <w:bCs/>
          <w:i/>
          <w:iCs/>
          <w:sz w:val="20"/>
          <w:szCs w:val="20"/>
          <w:u w:val="single"/>
        </w:rPr>
        <w:t>Based on Harry’s recommendation</w:t>
      </w:r>
      <w:r w:rsidR="006C25D9">
        <w:rPr>
          <w:b/>
          <w:bCs/>
          <w:i/>
          <w:iCs/>
          <w:sz w:val="20"/>
          <w:szCs w:val="20"/>
          <w:u w:val="single"/>
        </w:rPr>
        <w:t xml:space="preserve"> attributes are </w:t>
      </w:r>
      <w:r w:rsidR="007D57FC">
        <w:rPr>
          <w:b/>
          <w:bCs/>
          <w:i/>
          <w:iCs/>
          <w:sz w:val="20"/>
          <w:szCs w:val="20"/>
          <w:u w:val="single"/>
        </w:rPr>
        <w:t>grouped into a complex type – “SeparateValuation”</w:t>
      </w:r>
    </w:p>
    <w:p w14:paraId="46A87370" w14:textId="6BE8DF09" w:rsidR="004F37E0" w:rsidRPr="00F91100" w:rsidRDefault="004F37E0" w:rsidP="004F37E0">
      <w:pPr>
        <w:pStyle w:val="ListParagraph"/>
        <w:rPr>
          <w:rStyle w:val="Strong"/>
          <w:rFonts w:ascii="Arial" w:hAnsi="Arial" w:cs="Arial"/>
          <w:sz w:val="21"/>
          <w:szCs w:val="21"/>
        </w:rPr>
      </w:pPr>
      <w:r w:rsidRPr="00F91100">
        <w:rPr>
          <w:rFonts w:ascii="Arial" w:hAnsi="Arial" w:cs="Arial"/>
          <w:sz w:val="21"/>
          <w:szCs w:val="21"/>
        </w:rPr>
        <w:t xml:space="preserve">- Add </w:t>
      </w:r>
      <w:hyperlink r:id="rId46" w:history="1">
        <w:r w:rsidRPr="00F91100">
          <w:rPr>
            <w:rStyle w:val="Hyperlink"/>
            <w:rFonts w:ascii="Arial" w:hAnsi="Arial" w:cs="Arial"/>
            <w:sz w:val="21"/>
            <w:szCs w:val="21"/>
          </w:rPr>
          <w:t>valuationRules</w:t>
        </w:r>
      </w:hyperlink>
      <w:r w:rsidRPr="00F91100">
        <w:rPr>
          <w:rFonts w:ascii="Arial" w:hAnsi="Arial" w:cs="Arial"/>
          <w:sz w:val="21"/>
          <w:szCs w:val="21"/>
        </w:rPr>
        <w:t xml:space="preserve"> (of type </w:t>
      </w:r>
      <w:hyperlink r:id="rId47" w:history="1">
        <w:r w:rsidRPr="00F91100">
          <w:rPr>
            <w:rStyle w:val="Hyperlink"/>
            <w:rFonts w:ascii="Arial" w:hAnsi="Arial" w:cs="Arial"/>
            <w:sz w:val="21"/>
            <w:szCs w:val="21"/>
          </w:rPr>
          <w:t>EquityValuation</w:t>
        </w:r>
      </w:hyperlink>
      <w:r w:rsidRPr="00F91100">
        <w:rPr>
          <w:rFonts w:ascii="Arial" w:hAnsi="Arial" w:cs="Arial"/>
          <w:sz w:val="21"/>
          <w:szCs w:val="21"/>
        </w:rPr>
        <w:t xml:space="preserve">) / </w:t>
      </w:r>
      <w:r w:rsidRPr="00F91100">
        <w:rPr>
          <w:rStyle w:val="Strong"/>
          <w:rFonts w:ascii="Arial" w:hAnsi="Arial" w:cs="Arial"/>
          <w:sz w:val="21"/>
          <w:szCs w:val="21"/>
        </w:rPr>
        <w:t>separateValuation</w:t>
      </w:r>
      <w:r w:rsidR="00C63C8B">
        <w:rPr>
          <w:rStyle w:val="Strong"/>
          <w:rFonts w:ascii="Arial" w:hAnsi="Arial" w:cs="Arial"/>
          <w:sz w:val="21"/>
          <w:szCs w:val="21"/>
        </w:rPr>
        <w:t>/c</w:t>
      </w:r>
      <w:r w:rsidRPr="00F91100">
        <w:rPr>
          <w:rStyle w:val="Strong"/>
          <w:rFonts w:ascii="Arial" w:hAnsi="Arial" w:cs="Arial"/>
          <w:sz w:val="21"/>
          <w:szCs w:val="21"/>
        </w:rPr>
        <w:t>ombinedCalculation</w:t>
      </w:r>
    </w:p>
    <w:p w14:paraId="02B0060E" w14:textId="27887A59" w:rsidR="00575E36" w:rsidRPr="00F91100" w:rsidRDefault="00575E36" w:rsidP="00575E36">
      <w:pPr>
        <w:pStyle w:val="ListParagraph"/>
        <w:rPr>
          <w:rStyle w:val="Strong"/>
          <w:rFonts w:ascii="Arial" w:hAnsi="Arial" w:cs="Arial"/>
          <w:sz w:val="21"/>
          <w:szCs w:val="21"/>
        </w:rPr>
      </w:pPr>
      <w:r w:rsidRPr="00F91100">
        <w:rPr>
          <w:rFonts w:ascii="Arial" w:hAnsi="Arial" w:cs="Arial"/>
          <w:sz w:val="21"/>
          <w:szCs w:val="21"/>
        </w:rPr>
        <w:t xml:space="preserve">- Add </w:t>
      </w:r>
      <w:hyperlink r:id="rId48" w:history="1">
        <w:r w:rsidRPr="00F91100">
          <w:rPr>
            <w:rStyle w:val="Hyperlink"/>
            <w:rFonts w:ascii="Arial" w:hAnsi="Arial" w:cs="Arial"/>
            <w:sz w:val="21"/>
            <w:szCs w:val="21"/>
          </w:rPr>
          <w:t>valuationRules</w:t>
        </w:r>
      </w:hyperlink>
      <w:r w:rsidRPr="00F91100">
        <w:rPr>
          <w:rFonts w:ascii="Arial" w:hAnsi="Arial" w:cs="Arial"/>
          <w:sz w:val="21"/>
          <w:szCs w:val="21"/>
        </w:rPr>
        <w:t xml:space="preserve"> (of type </w:t>
      </w:r>
      <w:hyperlink r:id="rId49" w:history="1">
        <w:r w:rsidRPr="00F91100">
          <w:rPr>
            <w:rStyle w:val="Hyperlink"/>
            <w:rFonts w:ascii="Arial" w:hAnsi="Arial" w:cs="Arial"/>
            <w:sz w:val="21"/>
            <w:szCs w:val="21"/>
          </w:rPr>
          <w:t>EquityValuation</w:t>
        </w:r>
      </w:hyperlink>
      <w:r w:rsidRPr="00F91100">
        <w:rPr>
          <w:rFonts w:ascii="Arial" w:hAnsi="Arial" w:cs="Arial"/>
          <w:sz w:val="21"/>
          <w:szCs w:val="21"/>
        </w:rPr>
        <w:t xml:space="preserve">) / </w:t>
      </w:r>
      <w:r w:rsidRPr="00F91100">
        <w:rPr>
          <w:rStyle w:val="Strong"/>
          <w:rFonts w:ascii="Arial" w:hAnsi="Arial" w:cs="Arial"/>
          <w:sz w:val="21"/>
          <w:szCs w:val="21"/>
        </w:rPr>
        <w:t>separateValuation</w:t>
      </w:r>
      <w:r w:rsidR="00C63C8B">
        <w:rPr>
          <w:rStyle w:val="Strong"/>
          <w:rFonts w:ascii="Arial" w:hAnsi="Arial" w:cs="Arial"/>
          <w:sz w:val="21"/>
          <w:szCs w:val="21"/>
        </w:rPr>
        <w:t>/a</w:t>
      </w:r>
      <w:r w:rsidR="00FE50B9">
        <w:rPr>
          <w:rStyle w:val="Strong"/>
          <w:rFonts w:ascii="Arial" w:hAnsi="Arial" w:cs="Arial"/>
          <w:sz w:val="21"/>
          <w:szCs w:val="21"/>
        </w:rPr>
        <w:t>pplicability</w:t>
      </w:r>
    </w:p>
    <w:p w14:paraId="75AA84AE" w14:textId="46307951" w:rsidR="007502C6" w:rsidRDefault="00C63C8B" w:rsidP="00C63C8B">
      <w:pPr>
        <w:ind w:left="720"/>
        <w:rPr>
          <w:sz w:val="20"/>
          <w:szCs w:val="20"/>
        </w:rPr>
      </w:pPr>
      <w:r w:rsidRPr="00C63C8B">
        <w:rPr>
          <w:noProof/>
          <w:sz w:val="20"/>
          <w:szCs w:val="20"/>
        </w:rPr>
        <w:drawing>
          <wp:inline distT="0" distB="0" distL="0" distR="0" wp14:anchorId="3C723A96" wp14:editId="053E6835">
            <wp:extent cx="3010055" cy="2273417"/>
            <wp:effectExtent l="0" t="0" r="0" b="0"/>
            <wp:docPr id="1179694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94967" name=""/>
                    <pic:cNvPicPr/>
                  </pic:nvPicPr>
                  <pic:blipFill>
                    <a:blip r:embed="rId50"/>
                    <a:stretch>
                      <a:fillRect/>
                    </a:stretch>
                  </pic:blipFill>
                  <pic:spPr>
                    <a:xfrm>
                      <a:off x="0" y="0"/>
                      <a:ext cx="3010055" cy="2273417"/>
                    </a:xfrm>
                    <a:prstGeom prst="rect">
                      <a:avLst/>
                    </a:prstGeom>
                  </pic:spPr>
                </pic:pic>
              </a:graphicData>
            </a:graphic>
          </wp:inline>
        </w:drawing>
      </w:r>
    </w:p>
    <w:p w14:paraId="6F69E4BE" w14:textId="77777777" w:rsidR="0092651B" w:rsidRDefault="0092651B" w:rsidP="0092651B">
      <w:pPr>
        <w:pStyle w:val="Heading2"/>
        <w:rPr>
          <w:sz w:val="24"/>
          <w:szCs w:val="24"/>
          <w:u w:val="single"/>
        </w:rPr>
      </w:pPr>
      <w:r w:rsidRPr="003229CE">
        <w:rPr>
          <w:sz w:val="24"/>
          <w:szCs w:val="24"/>
        </w:rPr>
        <w:t>Valid Values/Enumerations</w:t>
      </w:r>
      <w:r w:rsidRPr="003229CE">
        <w:rPr>
          <w:sz w:val="24"/>
          <w:szCs w:val="24"/>
          <w:u w:val="single"/>
        </w:rPr>
        <w:t>:</w:t>
      </w:r>
    </w:p>
    <w:p w14:paraId="5AB1B8DA" w14:textId="48E2C685" w:rsidR="004875C1" w:rsidRDefault="00DE19FF" w:rsidP="004875C1">
      <w:r>
        <w:t>Following</w:t>
      </w:r>
      <w:r w:rsidR="004875C1" w:rsidRPr="004875C1">
        <w:t xml:space="preserve"> </w:t>
      </w:r>
      <w:r w:rsidR="004875C1">
        <w:t>2</w:t>
      </w:r>
      <w:r>
        <w:t xml:space="preserve"> enumerated values</w:t>
      </w:r>
      <w:r w:rsidR="004875C1" w:rsidRPr="004875C1">
        <w:t>:</w:t>
      </w:r>
    </w:p>
    <w:p w14:paraId="2BA5B955" w14:textId="27B1986F" w:rsidR="00B31539" w:rsidRPr="00DE19FF" w:rsidRDefault="00B31539" w:rsidP="00B31539">
      <w:pPr>
        <w:rPr>
          <w:b/>
          <w:bCs/>
        </w:rPr>
      </w:pPr>
      <w:r w:rsidRPr="00DE19FF">
        <w:rPr>
          <w:b/>
          <w:bCs/>
        </w:rPr>
        <w:t>separateValuation</w:t>
      </w:r>
      <w:r w:rsidR="00C63C8B">
        <w:rPr>
          <w:b/>
          <w:bCs/>
        </w:rPr>
        <w:t>/c</w:t>
      </w:r>
      <w:r w:rsidRPr="00DE19FF">
        <w:rPr>
          <w:b/>
          <w:bCs/>
        </w:rPr>
        <w:t>ombinedCalculation</w:t>
      </w:r>
    </w:p>
    <w:p w14:paraId="69DB27D2" w14:textId="77777777" w:rsidR="00B31539" w:rsidRDefault="002822B2" w:rsidP="00475EB8">
      <w:pPr>
        <w:pStyle w:val="ListParagraph"/>
        <w:numPr>
          <w:ilvl w:val="0"/>
          <w:numId w:val="8"/>
        </w:numPr>
        <w:rPr>
          <w:rFonts w:ascii="Arial" w:hAnsi="Arial" w:cs="Arial"/>
          <w:sz w:val="21"/>
          <w:szCs w:val="21"/>
        </w:rPr>
      </w:pPr>
      <w:r w:rsidRPr="00B31539">
        <w:rPr>
          <w:rFonts w:ascii="Arial" w:hAnsi="Arial" w:cs="Arial"/>
          <w:sz w:val="21"/>
          <w:szCs w:val="21"/>
        </w:rPr>
        <w:t>Applicable</w:t>
      </w:r>
    </w:p>
    <w:p w14:paraId="34174300" w14:textId="1EBA3DA2" w:rsidR="002822B2" w:rsidRDefault="002822B2" w:rsidP="00475EB8">
      <w:pPr>
        <w:pStyle w:val="ListParagraph"/>
        <w:numPr>
          <w:ilvl w:val="0"/>
          <w:numId w:val="8"/>
        </w:numPr>
        <w:rPr>
          <w:rFonts w:ascii="Arial" w:hAnsi="Arial" w:cs="Arial"/>
          <w:sz w:val="21"/>
          <w:szCs w:val="21"/>
        </w:rPr>
      </w:pPr>
      <w:r w:rsidRPr="00B31539">
        <w:rPr>
          <w:rFonts w:ascii="Arial" w:hAnsi="Arial" w:cs="Arial"/>
          <w:sz w:val="21"/>
          <w:szCs w:val="21"/>
        </w:rPr>
        <w:t>NotApplicable</w:t>
      </w:r>
    </w:p>
    <w:p w14:paraId="17395862" w14:textId="33964517" w:rsidR="002F3801" w:rsidRPr="00DE19FF" w:rsidRDefault="002F3801" w:rsidP="002F3801">
      <w:pPr>
        <w:rPr>
          <w:rFonts w:ascii="Arial" w:hAnsi="Arial" w:cs="Arial"/>
          <w:sz w:val="21"/>
          <w:szCs w:val="21"/>
        </w:rPr>
      </w:pPr>
      <w:r w:rsidRPr="00DE19FF">
        <w:rPr>
          <w:rFonts w:ascii="Arial" w:hAnsi="Arial" w:cs="Arial"/>
          <w:b/>
          <w:bCs/>
          <w:sz w:val="21"/>
          <w:szCs w:val="21"/>
        </w:rPr>
        <w:t>separateValuation</w:t>
      </w:r>
      <w:r w:rsidR="00C63C8B">
        <w:rPr>
          <w:rFonts w:ascii="Arial" w:hAnsi="Arial" w:cs="Arial"/>
          <w:b/>
          <w:bCs/>
          <w:sz w:val="21"/>
          <w:szCs w:val="21"/>
        </w:rPr>
        <w:t>/a</w:t>
      </w:r>
      <w:r w:rsidRPr="00DE19FF">
        <w:rPr>
          <w:rFonts w:ascii="Arial" w:hAnsi="Arial" w:cs="Arial"/>
          <w:b/>
          <w:bCs/>
          <w:sz w:val="21"/>
          <w:szCs w:val="21"/>
        </w:rPr>
        <w:t>pplicability</w:t>
      </w:r>
      <w:r w:rsidR="00DE19FF">
        <w:rPr>
          <w:rFonts w:ascii="Arial" w:hAnsi="Arial" w:cs="Arial"/>
          <w:b/>
          <w:bCs/>
          <w:sz w:val="21"/>
          <w:szCs w:val="21"/>
        </w:rPr>
        <w:t xml:space="preserve"> </w:t>
      </w:r>
      <w:r w:rsidR="003E5510">
        <w:rPr>
          <w:rFonts w:ascii="Arial" w:hAnsi="Arial" w:cs="Arial"/>
          <w:b/>
          <w:bCs/>
          <w:sz w:val="21"/>
          <w:szCs w:val="21"/>
        </w:rPr>
        <w:t>–</w:t>
      </w:r>
      <w:r w:rsidR="00DE19FF">
        <w:rPr>
          <w:rFonts w:ascii="Arial" w:hAnsi="Arial" w:cs="Arial"/>
          <w:b/>
          <w:bCs/>
          <w:sz w:val="21"/>
          <w:szCs w:val="21"/>
        </w:rPr>
        <w:t xml:space="preserve"> </w:t>
      </w:r>
      <w:r w:rsidR="003E5510">
        <w:rPr>
          <w:rFonts w:ascii="Arial" w:hAnsi="Arial" w:cs="Arial"/>
          <w:sz w:val="21"/>
          <w:szCs w:val="21"/>
        </w:rPr>
        <w:t xml:space="preserve">This attribute can be specified </w:t>
      </w:r>
      <w:r w:rsidR="00647706">
        <w:rPr>
          <w:rFonts w:ascii="Arial" w:hAnsi="Arial" w:cs="Arial"/>
          <w:sz w:val="21"/>
          <w:szCs w:val="21"/>
        </w:rPr>
        <w:t>up to twice to represent both values.</w:t>
      </w:r>
    </w:p>
    <w:p w14:paraId="437C697E" w14:textId="77777777" w:rsidR="00433895" w:rsidRDefault="00433895" w:rsidP="00475EB8">
      <w:pPr>
        <w:pStyle w:val="ListParagraph"/>
        <w:numPr>
          <w:ilvl w:val="0"/>
          <w:numId w:val="8"/>
        </w:numPr>
        <w:rPr>
          <w:rFonts w:ascii="Arial" w:hAnsi="Arial" w:cs="Arial"/>
          <w:sz w:val="21"/>
          <w:szCs w:val="21"/>
        </w:rPr>
      </w:pPr>
      <w:r>
        <w:rPr>
          <w:rFonts w:ascii="Arial" w:hAnsi="Arial" w:cs="Arial"/>
          <w:sz w:val="21"/>
          <w:szCs w:val="21"/>
        </w:rPr>
        <w:t>A</w:t>
      </w:r>
      <w:r w:rsidRPr="00F91100">
        <w:rPr>
          <w:rFonts w:ascii="Arial" w:hAnsi="Arial" w:cs="Arial"/>
          <w:sz w:val="21"/>
          <w:szCs w:val="21"/>
        </w:rPr>
        <w:t>djustmentsAndExtraordinaryEvents</w:t>
      </w:r>
      <w:r w:rsidRPr="00B31539">
        <w:rPr>
          <w:rFonts w:ascii="Arial" w:hAnsi="Arial" w:cs="Arial"/>
          <w:sz w:val="21"/>
          <w:szCs w:val="21"/>
        </w:rPr>
        <w:t xml:space="preserve"> </w:t>
      </w:r>
    </w:p>
    <w:p w14:paraId="42565A16" w14:textId="00E80A5E" w:rsidR="002F3801" w:rsidRPr="00433895" w:rsidRDefault="00433895" w:rsidP="00475EB8">
      <w:pPr>
        <w:pStyle w:val="ListParagraph"/>
        <w:numPr>
          <w:ilvl w:val="0"/>
          <w:numId w:val="8"/>
        </w:numPr>
        <w:rPr>
          <w:rFonts w:ascii="Arial" w:hAnsi="Arial" w:cs="Arial"/>
          <w:sz w:val="21"/>
          <w:szCs w:val="21"/>
        </w:rPr>
      </w:pPr>
      <w:r>
        <w:rPr>
          <w:rFonts w:ascii="Arial" w:hAnsi="Arial" w:cs="Arial"/>
          <w:sz w:val="21"/>
          <w:szCs w:val="21"/>
        </w:rPr>
        <w:t>S</w:t>
      </w:r>
      <w:r w:rsidRPr="00F91100">
        <w:rPr>
          <w:rFonts w:ascii="Arial" w:hAnsi="Arial" w:cs="Arial"/>
          <w:sz w:val="21"/>
          <w:szCs w:val="21"/>
        </w:rPr>
        <w:t>taggeredSettlement</w:t>
      </w:r>
    </w:p>
    <w:p w14:paraId="1182D15E" w14:textId="077A5DF7" w:rsidR="002822B2" w:rsidRPr="00F6055C" w:rsidRDefault="003774A4" w:rsidP="0022770E">
      <w:r w:rsidRPr="003774A4">
        <w:rPr>
          <w:u w:val="single"/>
        </w:rPr>
        <w:lastRenderedPageBreak/>
        <w:t>Example</w:t>
      </w:r>
      <w:r>
        <w:t>:</w:t>
      </w:r>
      <w:r w:rsidRPr="003774A4">
        <w:rPr>
          <w:noProof/>
        </w:rPr>
        <w:t xml:space="preserve"> </w:t>
      </w:r>
      <w:r w:rsidR="00C63C8B" w:rsidRPr="00C63C8B">
        <w:rPr>
          <w:noProof/>
        </w:rPr>
        <w:drawing>
          <wp:inline distT="0" distB="0" distL="0" distR="0" wp14:anchorId="7C7376E9" wp14:editId="14A67CD9">
            <wp:extent cx="4159464" cy="1320868"/>
            <wp:effectExtent l="19050" t="19050" r="12700" b="12700"/>
            <wp:docPr id="2133349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49718" name=""/>
                    <pic:cNvPicPr/>
                  </pic:nvPicPr>
                  <pic:blipFill>
                    <a:blip r:embed="rId51"/>
                    <a:stretch>
                      <a:fillRect/>
                    </a:stretch>
                  </pic:blipFill>
                  <pic:spPr>
                    <a:xfrm>
                      <a:off x="0" y="0"/>
                      <a:ext cx="4159464" cy="1320868"/>
                    </a:xfrm>
                    <a:prstGeom prst="rect">
                      <a:avLst/>
                    </a:prstGeom>
                    <a:ln w="3175">
                      <a:solidFill>
                        <a:schemeClr val="tx1"/>
                      </a:solidFill>
                    </a:ln>
                  </pic:spPr>
                </pic:pic>
              </a:graphicData>
            </a:graphic>
          </wp:inline>
        </w:drawing>
      </w:r>
    </w:p>
    <w:p w14:paraId="3F5C1AF8" w14:textId="77777777" w:rsidR="00314F61" w:rsidRPr="003229CE" w:rsidRDefault="00314F61" w:rsidP="00314F61">
      <w:pPr>
        <w:pStyle w:val="Heading2"/>
        <w:rPr>
          <w:sz w:val="24"/>
          <w:szCs w:val="24"/>
        </w:rPr>
      </w:pPr>
      <w:r w:rsidRPr="003229CE">
        <w:rPr>
          <w:sz w:val="24"/>
          <w:szCs w:val="24"/>
        </w:rPr>
        <w:t>Applicability Condition</w:t>
      </w:r>
    </w:p>
    <w:p w14:paraId="6FBE5B89" w14:textId="10041849" w:rsidR="00006E76" w:rsidRDefault="00D06053" w:rsidP="00D06053">
      <w:pPr>
        <w:ind w:left="576"/>
        <w:rPr>
          <w:rFonts w:ascii="Arial" w:hAnsi="Arial" w:cs="Arial"/>
          <w:sz w:val="21"/>
          <w:szCs w:val="21"/>
        </w:rPr>
      </w:pPr>
      <w:r w:rsidRPr="00F91100">
        <w:rPr>
          <w:rFonts w:ascii="Arial" w:hAnsi="Arial" w:cs="Arial"/>
          <w:sz w:val="21"/>
          <w:szCs w:val="21"/>
        </w:rPr>
        <w:t>T</w:t>
      </w:r>
      <w:r w:rsidR="00314F61" w:rsidRPr="00F91100">
        <w:rPr>
          <w:rFonts w:ascii="Arial" w:hAnsi="Arial" w:cs="Arial"/>
          <w:sz w:val="21"/>
          <w:szCs w:val="21"/>
        </w:rPr>
        <w:t>hese fields and elections are relevant to basket transactions only (regardless of the underlier type</w:t>
      </w:r>
      <w:r w:rsidRPr="00F91100">
        <w:rPr>
          <w:rFonts w:ascii="Arial" w:hAnsi="Arial" w:cs="Arial"/>
          <w:sz w:val="21"/>
          <w:szCs w:val="21"/>
        </w:rPr>
        <w:t xml:space="preserve">), i.e. </w:t>
      </w:r>
      <w:r w:rsidR="00314F61" w:rsidRPr="00F91100">
        <w:rPr>
          <w:rFonts w:ascii="Arial" w:hAnsi="Arial" w:cs="Arial"/>
          <w:sz w:val="21"/>
          <w:szCs w:val="21"/>
        </w:rPr>
        <w:t>underlyer=basket</w:t>
      </w:r>
    </w:p>
    <w:p w14:paraId="5881B32D" w14:textId="3355243E" w:rsidR="009A443D" w:rsidRPr="00F91100" w:rsidRDefault="009A443D" w:rsidP="00CA1834">
      <w:pPr>
        <w:ind w:left="432"/>
        <w:rPr>
          <w:rFonts w:ascii="Arial" w:hAnsi="Arial" w:cs="Arial"/>
          <w:sz w:val="21"/>
          <w:szCs w:val="21"/>
        </w:rPr>
      </w:pPr>
      <w:r w:rsidRPr="00D95EFB">
        <w:rPr>
          <w:rFonts w:ascii="Arial" w:hAnsi="Arial" w:cs="Arial"/>
          <w:sz w:val="21"/>
          <w:szCs w:val="21"/>
        </w:rPr>
        <w:t>separateValuationApplicability</w:t>
      </w:r>
      <w:r>
        <w:rPr>
          <w:rFonts w:ascii="Arial" w:hAnsi="Arial" w:cs="Arial"/>
          <w:sz w:val="21"/>
          <w:szCs w:val="21"/>
        </w:rPr>
        <w:t xml:space="preserve"> </w:t>
      </w:r>
      <w:r w:rsidR="00EA02FB">
        <w:rPr>
          <w:rFonts w:ascii="Arial" w:hAnsi="Arial" w:cs="Arial"/>
          <w:sz w:val="21"/>
          <w:szCs w:val="21"/>
        </w:rPr>
        <w:t xml:space="preserve">can only be specified when </w:t>
      </w:r>
      <w:r w:rsidR="00EA02FB" w:rsidRPr="00EA02FB">
        <w:rPr>
          <w:rFonts w:ascii="Arial" w:hAnsi="Arial" w:cs="Arial"/>
          <w:sz w:val="21"/>
          <w:szCs w:val="21"/>
        </w:rPr>
        <w:t xml:space="preserve">separateValuationCombinedCalculation </w:t>
      </w:r>
      <w:r w:rsidR="00EA02FB">
        <w:rPr>
          <w:rFonts w:ascii="Arial" w:hAnsi="Arial" w:cs="Arial"/>
          <w:sz w:val="21"/>
          <w:szCs w:val="21"/>
        </w:rPr>
        <w:t>is se</w:t>
      </w:r>
      <w:r w:rsidR="00CA1834">
        <w:rPr>
          <w:rFonts w:ascii="Arial" w:hAnsi="Arial" w:cs="Arial"/>
          <w:sz w:val="21"/>
          <w:szCs w:val="21"/>
        </w:rPr>
        <w:t>t to be Applicable.</w:t>
      </w:r>
    </w:p>
    <w:p w14:paraId="061B9573" w14:textId="35381655" w:rsidR="00006E76" w:rsidRPr="003229CE" w:rsidRDefault="00006E76" w:rsidP="003D53CF">
      <w:pPr>
        <w:pStyle w:val="Heading1"/>
        <w:rPr>
          <w:sz w:val="32"/>
          <w:szCs w:val="32"/>
        </w:rPr>
      </w:pPr>
      <w:bookmarkStart w:id="9" w:name="_Toc223723267"/>
      <w:r w:rsidRPr="003229CE">
        <w:rPr>
          <w:sz w:val="32"/>
          <w:szCs w:val="32"/>
        </w:rPr>
        <w:t>Benchmark Provisions</w:t>
      </w:r>
      <w:bookmarkEnd w:id="9"/>
    </w:p>
    <w:p w14:paraId="2BDDF3A4" w14:textId="77777777" w:rsidR="003D53CF" w:rsidRPr="003229CE" w:rsidRDefault="003D53CF" w:rsidP="003D53CF">
      <w:pPr>
        <w:pStyle w:val="Heading2"/>
        <w:rPr>
          <w:sz w:val="24"/>
          <w:szCs w:val="24"/>
        </w:rPr>
      </w:pPr>
      <w:r w:rsidRPr="003229CE">
        <w:rPr>
          <w:sz w:val="24"/>
          <w:szCs w:val="24"/>
        </w:rPr>
        <w:t>Equity Definitions VE Confirmation extract:</w:t>
      </w:r>
    </w:p>
    <w:p w14:paraId="37E318C3" w14:textId="3C8A3DC4" w:rsidR="00006E76" w:rsidRPr="003229CE" w:rsidRDefault="00006E76" w:rsidP="00006E76">
      <w:pPr>
        <w:rPr>
          <w:sz w:val="20"/>
          <w:szCs w:val="20"/>
        </w:rPr>
      </w:pPr>
      <w:r w:rsidRPr="003229CE">
        <w:rPr>
          <w:noProof/>
          <w:sz w:val="20"/>
          <w:szCs w:val="20"/>
        </w:rPr>
        <w:drawing>
          <wp:inline distT="0" distB="0" distL="0" distR="0" wp14:anchorId="61202A02" wp14:editId="7B2D4E94">
            <wp:extent cx="5543550" cy="1362075"/>
            <wp:effectExtent l="0" t="0" r="0" b="9525"/>
            <wp:docPr id="1605780885" name="Picture 15" descr="A screenshot of a computer&#10;&#10;AI-generated content may be incorrect.">
              <a:extLst xmlns:a="http://schemas.openxmlformats.org/drawingml/2006/main">
                <a:ext uri="{FF2B5EF4-FFF2-40B4-BE49-F238E27FC236}">
                  <a16:creationId xmlns:a16="http://schemas.microsoft.com/office/drawing/2014/main" id="{383F247B-DCDF-45D0-81CB-F0498D2DEF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80885" name="Picture 15" descr="A screenshot of a computer&#10;&#10;AI-generated content may b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43550" cy="1362075"/>
                    </a:xfrm>
                    <a:prstGeom prst="rect">
                      <a:avLst/>
                    </a:prstGeom>
                    <a:noFill/>
                    <a:ln>
                      <a:noFill/>
                    </a:ln>
                  </pic:spPr>
                </pic:pic>
              </a:graphicData>
            </a:graphic>
          </wp:inline>
        </w:drawing>
      </w:r>
    </w:p>
    <w:p w14:paraId="00D209F5" w14:textId="77777777" w:rsidR="00DA230E" w:rsidRPr="00DA5ACB" w:rsidRDefault="00DA230E" w:rsidP="00F91100">
      <w:pPr>
        <w:rPr>
          <w:rFonts w:ascii="Arial" w:hAnsi="Arial" w:cs="Arial"/>
          <w:sz w:val="21"/>
          <w:szCs w:val="21"/>
        </w:rPr>
      </w:pPr>
      <w:r w:rsidRPr="00DA5ACB">
        <w:rPr>
          <w:rFonts w:ascii="Arial" w:hAnsi="Arial" w:cs="Arial"/>
          <w:sz w:val="21"/>
          <w:szCs w:val="21"/>
        </w:rPr>
        <w:t xml:space="preserve">These provisions address compliance with </w:t>
      </w:r>
      <w:r w:rsidRPr="00DA5ACB">
        <w:rPr>
          <w:rFonts w:ascii="Arial" w:hAnsi="Arial" w:cs="Arial"/>
          <w:b/>
          <w:bCs/>
          <w:sz w:val="21"/>
          <w:szCs w:val="21"/>
        </w:rPr>
        <w:t>EU Benchmarks Regulation (BMR)</w:t>
      </w:r>
      <w:r w:rsidRPr="00DA5ACB">
        <w:rPr>
          <w:rFonts w:ascii="Arial" w:hAnsi="Arial" w:cs="Arial"/>
          <w:sz w:val="21"/>
          <w:szCs w:val="21"/>
        </w:rPr>
        <w:t xml:space="preserve"> and similar global regimes governing the use of benchmarks in financial instruments.</w:t>
      </w:r>
    </w:p>
    <w:p w14:paraId="14D4A37E" w14:textId="77777777" w:rsidR="00DA230E" w:rsidRPr="00DA5ACB" w:rsidRDefault="00DA230E" w:rsidP="00F91100">
      <w:pPr>
        <w:rPr>
          <w:rFonts w:ascii="Arial" w:hAnsi="Arial" w:cs="Arial"/>
          <w:sz w:val="21"/>
          <w:szCs w:val="21"/>
        </w:rPr>
      </w:pPr>
      <w:r w:rsidRPr="00DA5ACB">
        <w:rPr>
          <w:rFonts w:ascii="Arial" w:hAnsi="Arial" w:cs="Arial"/>
          <w:b/>
          <w:bCs/>
          <w:sz w:val="21"/>
          <w:szCs w:val="21"/>
        </w:rPr>
        <w:t>High-level explanation</w:t>
      </w:r>
      <w:r w:rsidRPr="00DA5ACB">
        <w:rPr>
          <w:rFonts w:ascii="Arial" w:hAnsi="Arial" w:cs="Arial"/>
          <w:sz w:val="21"/>
          <w:szCs w:val="21"/>
        </w:rPr>
        <w:t>:</w:t>
      </w:r>
    </w:p>
    <w:p w14:paraId="63595DBF" w14:textId="77777777" w:rsidR="00FD199B" w:rsidRPr="00DA5ACB" w:rsidRDefault="00FD199B" w:rsidP="00475EB8">
      <w:pPr>
        <w:numPr>
          <w:ilvl w:val="0"/>
          <w:numId w:val="12"/>
        </w:numPr>
        <w:rPr>
          <w:rFonts w:ascii="Arial" w:hAnsi="Arial" w:cs="Arial"/>
          <w:sz w:val="21"/>
          <w:szCs w:val="21"/>
        </w:rPr>
      </w:pPr>
      <w:r w:rsidRPr="00DA5ACB">
        <w:rPr>
          <w:rFonts w:ascii="Arial" w:hAnsi="Arial" w:cs="Arial"/>
          <w:sz w:val="21"/>
          <w:szCs w:val="21"/>
        </w:rPr>
        <w:t xml:space="preserve">These provisions cover scenarios where the </w:t>
      </w:r>
      <w:r w:rsidRPr="00DA5ACB">
        <w:rPr>
          <w:rFonts w:ascii="Arial" w:hAnsi="Arial" w:cs="Arial"/>
          <w:b/>
          <w:bCs/>
          <w:sz w:val="21"/>
          <w:szCs w:val="21"/>
        </w:rPr>
        <w:t>reference index</w:t>
      </w:r>
      <w:r w:rsidRPr="00DA5ACB">
        <w:rPr>
          <w:rFonts w:ascii="Arial" w:hAnsi="Arial" w:cs="Arial"/>
          <w:sz w:val="21"/>
          <w:szCs w:val="21"/>
        </w:rPr>
        <w:t xml:space="preserve"> is no longer compliant or otherwise affected by benchmark regulation.</w:t>
      </w:r>
    </w:p>
    <w:p w14:paraId="766E4273" w14:textId="77777777" w:rsidR="00FD199B" w:rsidRPr="00DA5ACB" w:rsidRDefault="00FD199B" w:rsidP="00475EB8">
      <w:pPr>
        <w:numPr>
          <w:ilvl w:val="0"/>
          <w:numId w:val="12"/>
        </w:numPr>
        <w:rPr>
          <w:rFonts w:ascii="Arial" w:hAnsi="Arial" w:cs="Arial"/>
          <w:sz w:val="21"/>
          <w:szCs w:val="21"/>
        </w:rPr>
      </w:pPr>
      <w:r w:rsidRPr="00DA5ACB">
        <w:rPr>
          <w:rFonts w:ascii="Arial" w:hAnsi="Arial" w:cs="Arial"/>
          <w:sz w:val="21"/>
          <w:szCs w:val="21"/>
        </w:rPr>
        <w:t>By electing “benchmark provisions applicable” in the confirmation, parties can rely on predefined consequences specified in the definitions.</w:t>
      </w:r>
    </w:p>
    <w:p w14:paraId="3A090498" w14:textId="2AB0AAAF" w:rsidR="00FE497F" w:rsidRPr="00DA5ACB" w:rsidRDefault="00FE497F" w:rsidP="00475EB8">
      <w:pPr>
        <w:numPr>
          <w:ilvl w:val="0"/>
          <w:numId w:val="12"/>
        </w:numPr>
        <w:rPr>
          <w:rFonts w:ascii="Arial" w:hAnsi="Arial" w:cs="Arial"/>
          <w:sz w:val="21"/>
          <w:szCs w:val="21"/>
        </w:rPr>
      </w:pPr>
      <w:r w:rsidRPr="00DA5ACB">
        <w:rPr>
          <w:rFonts w:ascii="Arial" w:hAnsi="Arial" w:cs="Arial"/>
          <w:sz w:val="21"/>
          <w:szCs w:val="21"/>
        </w:rPr>
        <w:t xml:space="preserve">Ability to </w:t>
      </w:r>
      <w:r w:rsidR="00655460">
        <w:rPr>
          <w:rFonts w:ascii="Arial" w:hAnsi="Arial" w:cs="Arial"/>
          <w:sz w:val="21"/>
          <w:szCs w:val="21"/>
        </w:rPr>
        <w:t>specify</w:t>
      </w:r>
      <w:r w:rsidRPr="00DA5ACB">
        <w:rPr>
          <w:rFonts w:ascii="Arial" w:hAnsi="Arial" w:cs="Arial"/>
          <w:sz w:val="21"/>
          <w:szCs w:val="21"/>
        </w:rPr>
        <w:t xml:space="preserve"> an </w:t>
      </w:r>
      <w:r w:rsidRPr="00DA5ACB">
        <w:rPr>
          <w:rFonts w:ascii="Arial" w:hAnsi="Arial" w:cs="Arial"/>
          <w:b/>
          <w:bCs/>
          <w:sz w:val="21"/>
          <w:szCs w:val="21"/>
        </w:rPr>
        <w:t>alternative pre</w:t>
      </w:r>
      <w:r w:rsidRPr="00DA5ACB">
        <w:rPr>
          <w:rFonts w:ascii="Arial" w:hAnsi="Arial" w:cs="Arial"/>
          <w:b/>
          <w:bCs/>
          <w:sz w:val="21"/>
          <w:szCs w:val="21"/>
        </w:rPr>
        <w:noBreakHyphen/>
        <w:t>nominated index</w:t>
      </w:r>
      <w:r w:rsidRPr="00DA5ACB">
        <w:rPr>
          <w:rFonts w:ascii="Arial" w:hAnsi="Arial" w:cs="Arial"/>
          <w:sz w:val="21"/>
          <w:szCs w:val="21"/>
        </w:rPr>
        <w:t>, to which the transaction would switch if a benchmark event occurred.</w:t>
      </w:r>
    </w:p>
    <w:p w14:paraId="7EF81C5A" w14:textId="73042C83" w:rsidR="00FD199B" w:rsidRPr="00DA5ACB" w:rsidRDefault="00437B5F" w:rsidP="00475EB8">
      <w:pPr>
        <w:numPr>
          <w:ilvl w:val="0"/>
          <w:numId w:val="12"/>
        </w:numPr>
        <w:rPr>
          <w:rFonts w:ascii="Arial" w:hAnsi="Arial" w:cs="Arial"/>
          <w:sz w:val="21"/>
          <w:szCs w:val="21"/>
        </w:rPr>
      </w:pPr>
      <w:r>
        <w:rPr>
          <w:rFonts w:ascii="Arial" w:hAnsi="Arial" w:cs="Arial"/>
          <w:sz w:val="21"/>
          <w:szCs w:val="21"/>
        </w:rPr>
        <w:t xml:space="preserve">Equity Definitions </w:t>
      </w:r>
      <w:r w:rsidR="00FD199B" w:rsidRPr="00DA5ACB">
        <w:rPr>
          <w:rFonts w:ascii="Arial" w:hAnsi="Arial" w:cs="Arial"/>
          <w:sz w:val="21"/>
          <w:szCs w:val="21"/>
        </w:rPr>
        <w:t xml:space="preserve">VE also allows for </w:t>
      </w:r>
      <w:r w:rsidR="00FD199B" w:rsidRPr="00DA5ACB">
        <w:rPr>
          <w:rFonts w:ascii="Arial" w:hAnsi="Arial" w:cs="Arial"/>
          <w:b/>
          <w:bCs/>
          <w:sz w:val="21"/>
          <w:szCs w:val="21"/>
        </w:rPr>
        <w:t>bespoke “administrative benchmark events”</w:t>
      </w:r>
      <w:r w:rsidR="00FD199B" w:rsidRPr="00DA5ACB">
        <w:rPr>
          <w:rFonts w:ascii="Arial" w:hAnsi="Arial" w:cs="Arial"/>
          <w:sz w:val="21"/>
          <w:szCs w:val="21"/>
        </w:rPr>
        <w:t xml:space="preserve"> and free</w:t>
      </w:r>
      <w:r w:rsidR="00FD199B" w:rsidRPr="00DA5ACB">
        <w:rPr>
          <w:rFonts w:ascii="Arial" w:hAnsi="Arial" w:cs="Arial"/>
          <w:sz w:val="21"/>
          <w:szCs w:val="21"/>
        </w:rPr>
        <w:noBreakHyphen/>
        <w:t>text consequences, but these are highly customised.</w:t>
      </w:r>
    </w:p>
    <w:p w14:paraId="3FB9FC6E" w14:textId="56841B32" w:rsidR="009506B2" w:rsidRPr="003229CE" w:rsidRDefault="009506B2" w:rsidP="009506B2">
      <w:pPr>
        <w:pStyle w:val="Heading2"/>
        <w:rPr>
          <w:sz w:val="24"/>
          <w:szCs w:val="24"/>
        </w:rPr>
      </w:pPr>
      <w:r w:rsidRPr="003229CE">
        <w:rPr>
          <w:sz w:val="24"/>
          <w:szCs w:val="24"/>
        </w:rPr>
        <w:t xml:space="preserve">FpML </w:t>
      </w:r>
      <w:r w:rsidR="00FD199B" w:rsidRPr="003229CE">
        <w:rPr>
          <w:sz w:val="24"/>
          <w:szCs w:val="24"/>
        </w:rPr>
        <w:t>schema</w:t>
      </w:r>
      <w:r w:rsidRPr="003229CE">
        <w:rPr>
          <w:sz w:val="24"/>
          <w:szCs w:val="24"/>
        </w:rPr>
        <w:t>:</w:t>
      </w:r>
    </w:p>
    <w:p w14:paraId="120FEFB8" w14:textId="5A3B4C74" w:rsidR="00E03C8C" w:rsidRPr="00B76F71" w:rsidRDefault="00E03C8C">
      <w:pPr>
        <w:rPr>
          <w:rStyle w:val="Strong"/>
          <w:rFonts w:ascii="Arial" w:hAnsi="Arial" w:cs="Arial"/>
          <w:b w:val="0"/>
          <w:bCs w:val="0"/>
          <w:sz w:val="21"/>
          <w:szCs w:val="21"/>
          <w:u w:val="single"/>
        </w:rPr>
      </w:pPr>
      <w:r w:rsidRPr="00B76F71">
        <w:rPr>
          <w:rStyle w:val="Strong"/>
          <w:rFonts w:ascii="Arial" w:hAnsi="Arial" w:cs="Arial"/>
          <w:b w:val="0"/>
          <w:bCs w:val="0"/>
          <w:sz w:val="21"/>
          <w:szCs w:val="21"/>
          <w:u w:val="single"/>
        </w:rPr>
        <w:t>Node representation of this optional attribute</w:t>
      </w:r>
    </w:p>
    <w:p w14:paraId="6C9717D2" w14:textId="3690AB9D" w:rsidR="00B20C8C" w:rsidRPr="00B76F71" w:rsidRDefault="00E03C8C" w:rsidP="00B20C8C">
      <w:pPr>
        <w:pStyle w:val="ListParagraph"/>
        <w:rPr>
          <w:rStyle w:val="Strong"/>
          <w:rFonts w:ascii="Arial" w:hAnsi="Arial" w:cs="Arial"/>
          <w:sz w:val="21"/>
          <w:szCs w:val="21"/>
        </w:rPr>
      </w:pPr>
      <w:r w:rsidRPr="00B76F71">
        <w:rPr>
          <w:rFonts w:ascii="Arial" w:hAnsi="Arial" w:cs="Arial"/>
          <w:sz w:val="21"/>
          <w:szCs w:val="21"/>
        </w:rPr>
        <w:lastRenderedPageBreak/>
        <w:t xml:space="preserve">- Add </w:t>
      </w:r>
      <w:hyperlink r:id="rId53" w:history="1">
        <w:r w:rsidR="00B20C8C" w:rsidRPr="00B76F71">
          <w:rPr>
            <w:rStyle w:val="Hyperlink"/>
            <w:rFonts w:ascii="Arial" w:hAnsi="Arial" w:cs="Arial"/>
            <w:sz w:val="21"/>
            <w:szCs w:val="21"/>
          </w:rPr>
          <w:t>equitySwapTransactionSupplement</w:t>
        </w:r>
      </w:hyperlink>
      <w:r w:rsidR="00866690" w:rsidRPr="00B76F71">
        <w:rPr>
          <w:rFonts w:ascii="Arial" w:hAnsi="Arial" w:cs="Arial"/>
          <w:sz w:val="21"/>
          <w:szCs w:val="21"/>
        </w:rPr>
        <w:t xml:space="preserve"> </w:t>
      </w:r>
      <w:r w:rsidRPr="00B76F71">
        <w:rPr>
          <w:rFonts w:ascii="Arial" w:hAnsi="Arial" w:cs="Arial"/>
          <w:sz w:val="21"/>
          <w:szCs w:val="21"/>
        </w:rPr>
        <w:t>/</w:t>
      </w:r>
      <w:r w:rsidR="00866690" w:rsidRPr="00B76F71">
        <w:rPr>
          <w:rFonts w:ascii="Arial" w:hAnsi="Arial" w:cs="Arial"/>
          <w:sz w:val="21"/>
          <w:szCs w:val="21"/>
        </w:rPr>
        <w:t xml:space="preserve"> </w:t>
      </w:r>
      <w:r w:rsidR="00482328" w:rsidRPr="00B76F71">
        <w:rPr>
          <w:rStyle w:val="Strong"/>
          <w:rFonts w:ascii="Arial" w:hAnsi="Arial" w:cs="Arial"/>
          <w:sz w:val="21"/>
          <w:szCs w:val="21"/>
        </w:rPr>
        <w:t>b</w:t>
      </w:r>
      <w:r w:rsidR="00B20C8C" w:rsidRPr="00B76F71">
        <w:rPr>
          <w:rStyle w:val="Strong"/>
          <w:rFonts w:ascii="Arial" w:hAnsi="Arial" w:cs="Arial"/>
          <w:sz w:val="21"/>
          <w:szCs w:val="21"/>
        </w:rPr>
        <w:t>enchmarkProvisions</w:t>
      </w:r>
      <w:r w:rsidR="00866690" w:rsidRPr="00B76F71">
        <w:rPr>
          <w:rStyle w:val="Strong"/>
          <w:rFonts w:ascii="Arial" w:hAnsi="Arial" w:cs="Arial"/>
          <w:sz w:val="21"/>
          <w:szCs w:val="21"/>
        </w:rPr>
        <w:t xml:space="preserve"> </w:t>
      </w:r>
    </w:p>
    <w:p w14:paraId="01839B42" w14:textId="77777777" w:rsidR="00877321" w:rsidRPr="00B76F71" w:rsidRDefault="00B20C8C" w:rsidP="00877321">
      <w:pPr>
        <w:pStyle w:val="ListParagraph"/>
        <w:rPr>
          <w:rStyle w:val="Strong"/>
          <w:rFonts w:ascii="Arial" w:hAnsi="Arial" w:cs="Arial"/>
          <w:sz w:val="21"/>
          <w:szCs w:val="21"/>
        </w:rPr>
      </w:pPr>
      <w:r w:rsidRPr="00B76F71">
        <w:rPr>
          <w:rFonts w:ascii="Arial" w:hAnsi="Arial" w:cs="Arial"/>
          <w:sz w:val="21"/>
          <w:szCs w:val="21"/>
        </w:rPr>
        <w:t xml:space="preserve">- Add </w:t>
      </w:r>
      <w:hyperlink r:id="rId54" w:history="1">
        <w:r w:rsidRPr="00B76F71">
          <w:rPr>
            <w:rStyle w:val="Hyperlink"/>
            <w:rFonts w:ascii="Arial" w:hAnsi="Arial" w:cs="Arial"/>
            <w:sz w:val="21"/>
            <w:szCs w:val="21"/>
          </w:rPr>
          <w:t>equitySwapTransactionSupplement</w:t>
        </w:r>
      </w:hyperlink>
      <w:r w:rsidRPr="00B76F71">
        <w:rPr>
          <w:rFonts w:ascii="Arial" w:hAnsi="Arial" w:cs="Arial"/>
          <w:sz w:val="21"/>
          <w:szCs w:val="21"/>
        </w:rPr>
        <w:t xml:space="preserve"> </w:t>
      </w:r>
      <w:r w:rsidR="00866690" w:rsidRPr="00B76F71">
        <w:rPr>
          <w:rStyle w:val="Strong"/>
          <w:rFonts w:ascii="Arial" w:hAnsi="Arial" w:cs="Arial"/>
          <w:sz w:val="21"/>
          <w:szCs w:val="21"/>
        </w:rPr>
        <w:t>/ alternativePreNominatedIndex</w:t>
      </w:r>
    </w:p>
    <w:p w14:paraId="36FF9B79" w14:textId="162F442D" w:rsidR="00922739" w:rsidRPr="003229CE" w:rsidRDefault="00D15CB6" w:rsidP="00671E00">
      <w:pPr>
        <w:pStyle w:val="ListParagraph"/>
        <w:ind w:left="0"/>
        <w:rPr>
          <w:b/>
          <w:bCs/>
          <w:sz w:val="20"/>
          <w:szCs w:val="20"/>
        </w:rPr>
      </w:pPr>
      <w:r w:rsidRPr="003229CE">
        <w:rPr>
          <w:sz w:val="20"/>
          <w:szCs w:val="20"/>
        </w:rPr>
        <w:br/>
      </w:r>
      <w:r w:rsidR="00671E00" w:rsidRPr="00671E00">
        <w:rPr>
          <w:b/>
          <w:bCs/>
          <w:noProof/>
          <w:sz w:val="20"/>
          <w:szCs w:val="20"/>
        </w:rPr>
        <w:drawing>
          <wp:inline distT="0" distB="0" distL="0" distR="0" wp14:anchorId="2E5724C7" wp14:editId="16A344A8">
            <wp:extent cx="6400800" cy="2719070"/>
            <wp:effectExtent l="0" t="0" r="0" b="5080"/>
            <wp:docPr id="235729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29151" name=""/>
                    <pic:cNvPicPr/>
                  </pic:nvPicPr>
                  <pic:blipFill>
                    <a:blip r:embed="rId55"/>
                    <a:stretch>
                      <a:fillRect/>
                    </a:stretch>
                  </pic:blipFill>
                  <pic:spPr>
                    <a:xfrm>
                      <a:off x="0" y="0"/>
                      <a:ext cx="6400800" cy="2719070"/>
                    </a:xfrm>
                    <a:prstGeom prst="rect">
                      <a:avLst/>
                    </a:prstGeom>
                  </pic:spPr>
                </pic:pic>
              </a:graphicData>
            </a:graphic>
          </wp:inline>
        </w:drawing>
      </w:r>
    </w:p>
    <w:p w14:paraId="67ACCAD4" w14:textId="77777777" w:rsidR="00B8152D" w:rsidRPr="003229CE" w:rsidRDefault="00B8152D" w:rsidP="00006E76">
      <w:pPr>
        <w:rPr>
          <w:sz w:val="20"/>
          <w:szCs w:val="20"/>
        </w:rPr>
      </w:pPr>
    </w:p>
    <w:p w14:paraId="71A20C1F" w14:textId="77777777" w:rsidR="00EE5131" w:rsidRPr="003229CE" w:rsidRDefault="00EE5131" w:rsidP="00EE5131">
      <w:pPr>
        <w:pStyle w:val="Heading2"/>
        <w:rPr>
          <w:sz w:val="24"/>
          <w:szCs w:val="24"/>
        </w:rPr>
      </w:pPr>
      <w:r w:rsidRPr="003229CE">
        <w:rPr>
          <w:sz w:val="24"/>
          <w:szCs w:val="24"/>
        </w:rPr>
        <w:t>Valid Values/Enumerations</w:t>
      </w:r>
      <w:r w:rsidRPr="003229CE">
        <w:rPr>
          <w:sz w:val="24"/>
          <w:szCs w:val="24"/>
          <w:u w:val="single"/>
        </w:rPr>
        <w:t>:</w:t>
      </w:r>
    </w:p>
    <w:p w14:paraId="6963869A" w14:textId="679CF089" w:rsidR="00953F96" w:rsidRPr="00B76F71" w:rsidRDefault="00482328" w:rsidP="00953F96">
      <w:pPr>
        <w:ind w:firstLine="576"/>
        <w:rPr>
          <w:rFonts w:ascii="Arial" w:hAnsi="Arial" w:cs="Arial"/>
          <w:b/>
          <w:bCs/>
          <w:sz w:val="21"/>
          <w:szCs w:val="21"/>
        </w:rPr>
      </w:pPr>
      <w:r w:rsidRPr="00B76F71">
        <w:rPr>
          <w:rFonts w:ascii="Arial" w:hAnsi="Arial" w:cs="Arial"/>
          <w:sz w:val="21"/>
          <w:szCs w:val="21"/>
        </w:rPr>
        <w:t xml:space="preserve">For, </w:t>
      </w:r>
      <w:r w:rsidRPr="00B76F71">
        <w:rPr>
          <w:rFonts w:ascii="Arial" w:hAnsi="Arial" w:cs="Arial"/>
          <w:b/>
          <w:bCs/>
          <w:sz w:val="21"/>
          <w:szCs w:val="21"/>
        </w:rPr>
        <w:t>b</w:t>
      </w:r>
      <w:r w:rsidR="00786548" w:rsidRPr="00B76F71">
        <w:rPr>
          <w:rFonts w:ascii="Arial" w:hAnsi="Arial" w:cs="Arial"/>
          <w:b/>
          <w:bCs/>
          <w:sz w:val="21"/>
          <w:szCs w:val="21"/>
        </w:rPr>
        <w:t>enchmarkProvisions</w:t>
      </w:r>
    </w:p>
    <w:p w14:paraId="47CA83A3" w14:textId="77777777" w:rsidR="00922739" w:rsidRPr="00B76F71" w:rsidRDefault="00F8766B" w:rsidP="00475EB8">
      <w:pPr>
        <w:pStyle w:val="ListParagraph"/>
        <w:numPr>
          <w:ilvl w:val="0"/>
          <w:numId w:val="3"/>
        </w:numPr>
        <w:rPr>
          <w:rFonts w:ascii="Arial" w:hAnsi="Arial" w:cs="Arial"/>
          <w:sz w:val="21"/>
          <w:szCs w:val="21"/>
        </w:rPr>
      </w:pPr>
      <w:r w:rsidRPr="00B76F71">
        <w:rPr>
          <w:rFonts w:ascii="Arial" w:hAnsi="Arial" w:cs="Arial"/>
          <w:sz w:val="21"/>
          <w:szCs w:val="21"/>
        </w:rPr>
        <w:t>Applicable</w:t>
      </w:r>
    </w:p>
    <w:p w14:paraId="746ABA6A" w14:textId="179DA9F8" w:rsidR="00922739" w:rsidRDefault="0060636B" w:rsidP="00475EB8">
      <w:pPr>
        <w:pStyle w:val="ListParagraph"/>
        <w:numPr>
          <w:ilvl w:val="0"/>
          <w:numId w:val="3"/>
        </w:numPr>
        <w:rPr>
          <w:rFonts w:ascii="Arial" w:hAnsi="Arial" w:cs="Arial"/>
          <w:sz w:val="21"/>
          <w:szCs w:val="21"/>
        </w:rPr>
      </w:pPr>
      <w:r w:rsidRPr="00B76F71">
        <w:rPr>
          <w:rFonts w:ascii="Arial" w:hAnsi="Arial" w:cs="Arial"/>
          <w:sz w:val="21"/>
          <w:szCs w:val="21"/>
        </w:rPr>
        <w:t>Not Applicable</w:t>
      </w:r>
    </w:p>
    <w:p w14:paraId="4E7B25A2" w14:textId="1398F404" w:rsidR="0012298F" w:rsidRPr="0012298F" w:rsidRDefault="0012298F" w:rsidP="0012298F">
      <w:pPr>
        <w:rPr>
          <w:rFonts w:ascii="Arial" w:hAnsi="Arial" w:cs="Arial"/>
          <w:sz w:val="21"/>
          <w:szCs w:val="21"/>
        </w:rPr>
      </w:pPr>
      <w:r w:rsidRPr="0012298F">
        <w:rPr>
          <w:rFonts w:ascii="Arial" w:hAnsi="Arial" w:cs="Arial"/>
          <w:sz w:val="21"/>
          <w:szCs w:val="21"/>
          <w:u w:val="single"/>
        </w:rPr>
        <w:t>Example</w:t>
      </w:r>
      <w:r>
        <w:rPr>
          <w:rFonts w:ascii="Arial" w:hAnsi="Arial" w:cs="Arial"/>
          <w:sz w:val="21"/>
          <w:szCs w:val="21"/>
        </w:rPr>
        <w:t>:</w:t>
      </w:r>
      <w:r w:rsidRPr="0012298F">
        <w:rPr>
          <w:noProof/>
        </w:rPr>
        <w:t xml:space="preserve"> </w:t>
      </w:r>
      <w:r w:rsidR="007C62B5" w:rsidRPr="007C62B5">
        <w:rPr>
          <w:noProof/>
        </w:rPr>
        <w:drawing>
          <wp:inline distT="0" distB="0" distL="0" distR="0" wp14:anchorId="6DD5F5A6" wp14:editId="2D9590A7">
            <wp:extent cx="6400800" cy="1152525"/>
            <wp:effectExtent l="0" t="0" r="0" b="9525"/>
            <wp:docPr id="1405927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27445" name=""/>
                    <pic:cNvPicPr/>
                  </pic:nvPicPr>
                  <pic:blipFill>
                    <a:blip r:embed="rId56"/>
                    <a:stretch>
                      <a:fillRect/>
                    </a:stretch>
                  </pic:blipFill>
                  <pic:spPr>
                    <a:xfrm>
                      <a:off x="0" y="0"/>
                      <a:ext cx="6400800" cy="1152525"/>
                    </a:xfrm>
                    <a:prstGeom prst="rect">
                      <a:avLst/>
                    </a:prstGeom>
                  </pic:spPr>
                </pic:pic>
              </a:graphicData>
            </a:graphic>
          </wp:inline>
        </w:drawing>
      </w:r>
    </w:p>
    <w:p w14:paraId="6038BBCA" w14:textId="77777777" w:rsidR="00922739" w:rsidRPr="003229CE" w:rsidRDefault="00922739" w:rsidP="00922739">
      <w:pPr>
        <w:pStyle w:val="Heading2"/>
        <w:rPr>
          <w:sz w:val="24"/>
          <w:szCs w:val="24"/>
        </w:rPr>
      </w:pPr>
      <w:r w:rsidRPr="003229CE">
        <w:rPr>
          <w:sz w:val="24"/>
          <w:szCs w:val="24"/>
        </w:rPr>
        <w:t>Applicability Condition</w:t>
      </w:r>
    </w:p>
    <w:p w14:paraId="4A5090D0" w14:textId="4EBED3D4" w:rsidR="00006E76" w:rsidRPr="00FA2B5C" w:rsidRDefault="00922739" w:rsidP="00FA2B5C">
      <w:pPr>
        <w:ind w:left="576"/>
        <w:rPr>
          <w:rFonts w:ascii="Arial" w:hAnsi="Arial" w:cs="Arial"/>
          <w:sz w:val="21"/>
          <w:szCs w:val="21"/>
        </w:rPr>
      </w:pPr>
      <w:r w:rsidRPr="00B76F71">
        <w:rPr>
          <w:rFonts w:ascii="Arial" w:hAnsi="Arial" w:cs="Arial"/>
          <w:sz w:val="21"/>
          <w:szCs w:val="21"/>
        </w:rPr>
        <w:t>Can only be used for index transactions.</w:t>
      </w:r>
      <w:r w:rsidRPr="00B76F71">
        <w:rPr>
          <w:rFonts w:ascii="Arial" w:hAnsi="Arial" w:cs="Arial"/>
          <w:sz w:val="21"/>
          <w:szCs w:val="21"/>
        </w:rPr>
        <w:br/>
        <w:t>underlyer=singleUnderlier=index, or basketConstituent=index</w:t>
      </w:r>
    </w:p>
    <w:p w14:paraId="656A9311" w14:textId="7B727F2A" w:rsidR="00006E76" w:rsidRPr="003229CE" w:rsidRDefault="00006E76" w:rsidP="006C4ED2">
      <w:pPr>
        <w:pStyle w:val="Heading1"/>
        <w:rPr>
          <w:sz w:val="32"/>
          <w:szCs w:val="32"/>
        </w:rPr>
      </w:pPr>
      <w:bookmarkStart w:id="10" w:name="_Toc223723268"/>
      <w:r w:rsidRPr="003229CE">
        <w:rPr>
          <w:sz w:val="32"/>
          <w:szCs w:val="32"/>
        </w:rPr>
        <w:lastRenderedPageBreak/>
        <w:t>Full DR Lookthrough and Partial DR Lookthrough provisions</w:t>
      </w:r>
      <w:bookmarkEnd w:id="10"/>
    </w:p>
    <w:p w14:paraId="59387E12" w14:textId="77777777" w:rsidR="006C4ED2" w:rsidRPr="003229CE" w:rsidRDefault="006C4ED2" w:rsidP="006C4ED2">
      <w:pPr>
        <w:pStyle w:val="Heading2"/>
        <w:rPr>
          <w:sz w:val="24"/>
          <w:szCs w:val="24"/>
        </w:rPr>
      </w:pPr>
      <w:r w:rsidRPr="003229CE">
        <w:rPr>
          <w:sz w:val="24"/>
          <w:szCs w:val="24"/>
        </w:rPr>
        <w:t>Equity Definitions VE Confirmation extract:</w:t>
      </w:r>
    </w:p>
    <w:p w14:paraId="4498D016" w14:textId="60853DAF" w:rsidR="00006E76" w:rsidRPr="003229CE" w:rsidRDefault="00006E76" w:rsidP="00006E76">
      <w:pPr>
        <w:rPr>
          <w:b/>
          <w:bCs/>
          <w:sz w:val="20"/>
          <w:szCs w:val="20"/>
        </w:rPr>
      </w:pPr>
      <w:r w:rsidRPr="003229CE">
        <w:rPr>
          <w:b/>
          <w:noProof/>
          <w:sz w:val="20"/>
          <w:szCs w:val="20"/>
        </w:rPr>
        <w:drawing>
          <wp:inline distT="0" distB="0" distL="0" distR="0" wp14:anchorId="3ADE8831" wp14:editId="7908C547">
            <wp:extent cx="5943600" cy="516255"/>
            <wp:effectExtent l="0" t="0" r="0" b="0"/>
            <wp:docPr id="1886105419" name="Picture 13">
              <a:extLst xmlns:a="http://schemas.openxmlformats.org/drawingml/2006/main">
                <a:ext uri="{FF2B5EF4-FFF2-40B4-BE49-F238E27FC236}">
                  <a16:creationId xmlns:a16="http://schemas.microsoft.com/office/drawing/2014/main" id="{3EBCFDC9-3D6B-485B-B151-42DE7516C5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516255"/>
                    </a:xfrm>
                    <a:prstGeom prst="rect">
                      <a:avLst/>
                    </a:prstGeom>
                    <a:noFill/>
                    <a:ln>
                      <a:noFill/>
                    </a:ln>
                  </pic:spPr>
                </pic:pic>
              </a:graphicData>
            </a:graphic>
          </wp:inline>
        </w:drawing>
      </w:r>
    </w:p>
    <w:p w14:paraId="76ECB339" w14:textId="6326F1EC" w:rsidR="001A3EAF" w:rsidRPr="00B76F71" w:rsidRDefault="001A3EAF" w:rsidP="001A3EAF">
      <w:pPr>
        <w:rPr>
          <w:rFonts w:ascii="Arial" w:hAnsi="Arial" w:cs="Arial"/>
          <w:sz w:val="21"/>
          <w:szCs w:val="21"/>
        </w:rPr>
      </w:pPr>
      <w:r w:rsidRPr="00B76F71">
        <w:rPr>
          <w:rFonts w:ascii="Arial" w:hAnsi="Arial" w:cs="Arial"/>
          <w:sz w:val="21"/>
          <w:szCs w:val="21"/>
        </w:rPr>
        <w:t xml:space="preserve">Where the transaction references </w:t>
      </w:r>
      <w:r w:rsidRPr="00B76F71">
        <w:rPr>
          <w:rFonts w:ascii="Arial" w:hAnsi="Arial" w:cs="Arial"/>
          <w:b/>
          <w:bCs/>
          <w:sz w:val="21"/>
          <w:szCs w:val="21"/>
        </w:rPr>
        <w:t>Depository Receipts (DRs)</w:t>
      </w:r>
      <w:r w:rsidRPr="00B76F71">
        <w:rPr>
          <w:rFonts w:ascii="Arial" w:hAnsi="Arial" w:cs="Arial"/>
          <w:sz w:val="21"/>
          <w:szCs w:val="21"/>
        </w:rPr>
        <w:t xml:space="preserve"> such as ADRs or GDRs, the parties may elect:</w:t>
      </w:r>
    </w:p>
    <w:p w14:paraId="71A492BB" w14:textId="4A386483" w:rsidR="001A3EAF" w:rsidRPr="00B76F71" w:rsidRDefault="001A3EAF" w:rsidP="001A3EAF">
      <w:pPr>
        <w:numPr>
          <w:ilvl w:val="0"/>
          <w:numId w:val="1"/>
        </w:numPr>
        <w:spacing w:after="200" w:line="276" w:lineRule="auto"/>
        <w:rPr>
          <w:rFonts w:ascii="Arial" w:hAnsi="Arial" w:cs="Arial"/>
          <w:sz w:val="21"/>
          <w:szCs w:val="21"/>
        </w:rPr>
      </w:pPr>
      <w:r w:rsidRPr="00B76F71">
        <w:rPr>
          <w:rFonts w:ascii="Arial" w:hAnsi="Arial" w:cs="Arial"/>
          <w:b/>
          <w:bCs/>
          <w:sz w:val="21"/>
          <w:szCs w:val="21"/>
        </w:rPr>
        <w:t>Full Look</w:t>
      </w:r>
      <w:r w:rsidRPr="00B76F71">
        <w:rPr>
          <w:rFonts w:ascii="Arial" w:hAnsi="Arial" w:cs="Arial"/>
          <w:b/>
          <w:bCs/>
          <w:sz w:val="21"/>
          <w:szCs w:val="21"/>
        </w:rPr>
        <w:noBreakHyphen/>
        <w:t>Through</w:t>
      </w:r>
      <w:r w:rsidRPr="00B76F71">
        <w:rPr>
          <w:rFonts w:ascii="Arial" w:hAnsi="Arial" w:cs="Arial"/>
          <w:sz w:val="21"/>
          <w:szCs w:val="21"/>
        </w:rPr>
        <w:t xml:space="preserve"> – used in transactions where the parties may be hedging in the shared underlying the DRs and require the terms of the transaction to look through to events in respect of the underlying shares.</w:t>
      </w:r>
    </w:p>
    <w:p w14:paraId="315B6DF1" w14:textId="6D6AD778" w:rsidR="003073F4" w:rsidRPr="00B76F71" w:rsidRDefault="001A3EAF" w:rsidP="000E03D3">
      <w:pPr>
        <w:numPr>
          <w:ilvl w:val="0"/>
          <w:numId w:val="1"/>
        </w:numPr>
        <w:spacing w:after="200" w:line="276" w:lineRule="auto"/>
        <w:rPr>
          <w:rFonts w:ascii="Arial" w:hAnsi="Arial" w:cs="Arial"/>
          <w:sz w:val="21"/>
          <w:szCs w:val="21"/>
        </w:rPr>
      </w:pPr>
      <w:r w:rsidRPr="00B76F71">
        <w:rPr>
          <w:rFonts w:ascii="Arial" w:hAnsi="Arial" w:cs="Arial"/>
          <w:b/>
          <w:bCs/>
          <w:sz w:val="21"/>
          <w:szCs w:val="21"/>
        </w:rPr>
        <w:t>Partial Look</w:t>
      </w:r>
      <w:r w:rsidRPr="00B76F71">
        <w:rPr>
          <w:rFonts w:ascii="Arial" w:hAnsi="Arial" w:cs="Arial"/>
          <w:b/>
          <w:bCs/>
          <w:sz w:val="21"/>
          <w:szCs w:val="21"/>
        </w:rPr>
        <w:noBreakHyphen/>
        <w:t>Through</w:t>
      </w:r>
      <w:r w:rsidRPr="00B76F71">
        <w:rPr>
          <w:rFonts w:ascii="Arial" w:hAnsi="Arial" w:cs="Arial"/>
          <w:sz w:val="21"/>
          <w:szCs w:val="21"/>
        </w:rPr>
        <w:t xml:space="preserve"> – as above but with a narrower scope of circumstances in which the transaction will look through to events affecting the shares underlying the DRs.</w:t>
      </w:r>
    </w:p>
    <w:p w14:paraId="50444308" w14:textId="5F784659" w:rsidR="001A3EAF" w:rsidRPr="00B76F71" w:rsidRDefault="001A3EAF" w:rsidP="001A3EAF">
      <w:pPr>
        <w:rPr>
          <w:rFonts w:ascii="Arial" w:hAnsi="Arial" w:cs="Arial"/>
          <w:sz w:val="21"/>
          <w:szCs w:val="21"/>
        </w:rPr>
      </w:pPr>
      <w:r w:rsidRPr="00B76F71">
        <w:rPr>
          <w:rFonts w:ascii="Arial" w:hAnsi="Arial" w:cs="Arial"/>
          <w:sz w:val="21"/>
          <w:szCs w:val="21"/>
        </w:rPr>
        <w:t>High-level explanation:</w:t>
      </w:r>
    </w:p>
    <w:p w14:paraId="3573BED3" w14:textId="29512794" w:rsidR="00006E76" w:rsidRPr="00B50916" w:rsidRDefault="001A3EAF" w:rsidP="00475EB8">
      <w:pPr>
        <w:numPr>
          <w:ilvl w:val="0"/>
          <w:numId w:val="7"/>
        </w:numPr>
        <w:spacing w:after="200" w:line="276" w:lineRule="auto"/>
        <w:rPr>
          <w:rFonts w:ascii="Arial" w:hAnsi="Arial" w:cs="Arial"/>
          <w:sz w:val="21"/>
          <w:szCs w:val="21"/>
        </w:rPr>
      </w:pPr>
      <w:r w:rsidRPr="00B76F71">
        <w:rPr>
          <w:rFonts w:ascii="Arial" w:hAnsi="Arial" w:cs="Arial"/>
          <w:sz w:val="21"/>
          <w:szCs w:val="21"/>
        </w:rPr>
        <w:t>Look</w:t>
      </w:r>
      <w:r w:rsidRPr="00B76F71">
        <w:rPr>
          <w:rFonts w:ascii="Arial" w:hAnsi="Arial" w:cs="Arial"/>
          <w:sz w:val="21"/>
          <w:szCs w:val="21"/>
        </w:rPr>
        <w:noBreakHyphen/>
        <w:t xml:space="preserve">Through ensures that </w:t>
      </w:r>
      <w:r w:rsidRPr="00B76F71">
        <w:rPr>
          <w:rFonts w:ascii="Arial" w:hAnsi="Arial" w:cs="Arial"/>
          <w:b/>
          <w:bCs/>
          <w:sz w:val="21"/>
          <w:szCs w:val="21"/>
        </w:rPr>
        <w:t>corporate actions</w:t>
      </w:r>
      <w:r w:rsidRPr="00B76F71">
        <w:rPr>
          <w:rFonts w:ascii="Arial" w:hAnsi="Arial" w:cs="Arial"/>
          <w:sz w:val="21"/>
          <w:szCs w:val="21"/>
        </w:rPr>
        <w:t xml:space="preserve">, </w:t>
      </w:r>
      <w:r w:rsidRPr="00B76F71">
        <w:rPr>
          <w:rFonts w:ascii="Arial" w:hAnsi="Arial" w:cs="Arial"/>
          <w:b/>
          <w:bCs/>
          <w:sz w:val="21"/>
          <w:szCs w:val="21"/>
        </w:rPr>
        <w:t>dividends</w:t>
      </w:r>
      <w:r w:rsidRPr="00B76F71">
        <w:rPr>
          <w:rFonts w:ascii="Arial" w:hAnsi="Arial" w:cs="Arial"/>
          <w:sz w:val="21"/>
          <w:szCs w:val="21"/>
        </w:rPr>
        <w:t xml:space="preserve">, </w:t>
      </w:r>
      <w:r w:rsidRPr="00B76F71">
        <w:rPr>
          <w:rFonts w:ascii="Arial" w:hAnsi="Arial" w:cs="Arial"/>
          <w:b/>
          <w:bCs/>
          <w:sz w:val="21"/>
          <w:szCs w:val="21"/>
        </w:rPr>
        <w:t>voting adjustments</w:t>
      </w:r>
      <w:r w:rsidRPr="00B76F71">
        <w:rPr>
          <w:rFonts w:ascii="Arial" w:hAnsi="Arial" w:cs="Arial"/>
          <w:sz w:val="21"/>
          <w:szCs w:val="21"/>
        </w:rPr>
        <w:t xml:space="preserve">, and </w:t>
      </w:r>
      <w:r w:rsidRPr="00B76F71">
        <w:rPr>
          <w:rFonts w:ascii="Arial" w:hAnsi="Arial" w:cs="Arial"/>
          <w:b/>
          <w:bCs/>
          <w:sz w:val="21"/>
          <w:szCs w:val="21"/>
        </w:rPr>
        <w:t>valuation mechanics</w:t>
      </w:r>
      <w:r w:rsidRPr="00B76F71">
        <w:rPr>
          <w:rFonts w:ascii="Arial" w:hAnsi="Arial" w:cs="Arial"/>
          <w:sz w:val="21"/>
          <w:szCs w:val="21"/>
        </w:rPr>
        <w:t xml:space="preserve"> reflect the </w:t>
      </w:r>
      <w:r w:rsidRPr="00B76F71">
        <w:rPr>
          <w:rFonts w:ascii="Arial" w:hAnsi="Arial" w:cs="Arial"/>
          <w:i/>
          <w:iCs/>
          <w:sz w:val="21"/>
          <w:szCs w:val="21"/>
        </w:rPr>
        <w:t>true underlying share</w:t>
      </w:r>
      <w:r w:rsidRPr="00B76F71">
        <w:rPr>
          <w:rFonts w:ascii="Arial" w:hAnsi="Arial" w:cs="Arial"/>
          <w:sz w:val="21"/>
          <w:szCs w:val="21"/>
        </w:rPr>
        <w:t xml:space="preserve"> where economically intended.</w:t>
      </w:r>
    </w:p>
    <w:p w14:paraId="0BAD5667" w14:textId="34AE33E5" w:rsidR="001A3EAF" w:rsidRPr="003229CE" w:rsidRDefault="001A3EAF" w:rsidP="001A3EAF">
      <w:pPr>
        <w:pStyle w:val="Heading2"/>
        <w:rPr>
          <w:sz w:val="24"/>
          <w:szCs w:val="24"/>
        </w:rPr>
      </w:pPr>
      <w:r w:rsidRPr="003229CE">
        <w:rPr>
          <w:sz w:val="24"/>
          <w:szCs w:val="24"/>
        </w:rPr>
        <w:t xml:space="preserve">FpML </w:t>
      </w:r>
      <w:r w:rsidR="00282F94">
        <w:rPr>
          <w:sz w:val="24"/>
          <w:szCs w:val="24"/>
        </w:rPr>
        <w:t>schema</w:t>
      </w:r>
      <w:r w:rsidRPr="003229CE">
        <w:rPr>
          <w:sz w:val="24"/>
          <w:szCs w:val="24"/>
        </w:rPr>
        <w:t>:</w:t>
      </w:r>
    </w:p>
    <w:p w14:paraId="55A500EF" w14:textId="5575BC34" w:rsidR="00B3087E" w:rsidRDefault="00866690" w:rsidP="00FA2B5C">
      <w:pPr>
        <w:ind w:firstLine="576"/>
        <w:rPr>
          <w:rStyle w:val="Strong"/>
          <w:rFonts w:ascii="Arial" w:hAnsi="Arial" w:cs="Arial"/>
          <w:b w:val="0"/>
          <w:bCs w:val="0"/>
          <w:sz w:val="21"/>
          <w:szCs w:val="21"/>
          <w:u w:val="single"/>
        </w:rPr>
      </w:pPr>
      <w:r w:rsidRPr="00B50916">
        <w:rPr>
          <w:rStyle w:val="Strong"/>
          <w:rFonts w:ascii="Arial" w:hAnsi="Arial" w:cs="Arial"/>
          <w:b w:val="0"/>
          <w:bCs w:val="0"/>
          <w:sz w:val="21"/>
          <w:szCs w:val="21"/>
          <w:u w:val="single"/>
        </w:rPr>
        <w:t>Node representation of this optional attribute</w:t>
      </w:r>
    </w:p>
    <w:p w14:paraId="3C34E17C" w14:textId="47A7598D" w:rsidR="00AB0D35" w:rsidRPr="00AB0D35" w:rsidRDefault="00AB0D35" w:rsidP="00AB0D35">
      <w:pPr>
        <w:pStyle w:val="Heading3"/>
        <w:rPr>
          <w:rStyle w:val="Strong"/>
        </w:rPr>
      </w:pPr>
      <w:r w:rsidRPr="004F3F8D">
        <w:rPr>
          <w:rFonts w:ascii="Calibri Light" w:hAnsi="Calibri Light" w:cs="Calibri Light"/>
          <w:b/>
          <w:bCs/>
          <w:color w:val="2F5496"/>
          <w:sz w:val="24"/>
        </w:rPr>
        <w:t>Implemented in FpML</w:t>
      </w:r>
    </w:p>
    <w:p w14:paraId="4EF88718" w14:textId="3CE0F370" w:rsidR="00B3087E" w:rsidRPr="00282F94" w:rsidRDefault="008A6F0C" w:rsidP="00647706">
      <w:pPr>
        <w:pStyle w:val="ListParagraph"/>
        <w:numPr>
          <w:ilvl w:val="0"/>
          <w:numId w:val="6"/>
        </w:numPr>
        <w:rPr>
          <w:rStyle w:val="Strong"/>
          <w:rFonts w:ascii="Arial" w:hAnsi="Arial" w:cs="Arial"/>
          <w:b w:val="0"/>
          <w:bCs w:val="0"/>
          <w:sz w:val="21"/>
          <w:szCs w:val="21"/>
          <w:u w:val="single"/>
        </w:rPr>
      </w:pPr>
      <w:r w:rsidRPr="00855B24">
        <w:rPr>
          <w:rFonts w:ascii="Arial" w:hAnsi="Arial" w:cs="Arial"/>
          <w:sz w:val="21"/>
          <w:szCs w:val="21"/>
        </w:rPr>
        <w:t xml:space="preserve">Add </w:t>
      </w:r>
      <w:hyperlink r:id="rId58" w:history="1">
        <w:r w:rsidRPr="00855B24">
          <w:rPr>
            <w:rStyle w:val="Hyperlink"/>
            <w:rFonts w:ascii="Arial" w:hAnsi="Arial" w:cs="Arial"/>
            <w:sz w:val="21"/>
            <w:szCs w:val="21"/>
          </w:rPr>
          <w:t>equitySwapTransactionSupplement</w:t>
        </w:r>
      </w:hyperlink>
      <w:r w:rsidRPr="00855B24">
        <w:rPr>
          <w:rFonts w:ascii="Arial" w:hAnsi="Arial" w:cs="Arial"/>
          <w:sz w:val="21"/>
          <w:szCs w:val="21"/>
        </w:rPr>
        <w:t xml:space="preserve"> / </w:t>
      </w:r>
      <w:r w:rsidRPr="00855B24">
        <w:rPr>
          <w:rFonts w:ascii="Arial" w:hAnsi="Arial" w:cs="Arial"/>
          <w:b/>
          <w:bCs/>
          <w:sz w:val="21"/>
          <w:szCs w:val="21"/>
        </w:rPr>
        <w:t>l</w:t>
      </w:r>
      <w:r w:rsidRPr="00855B24">
        <w:rPr>
          <w:rStyle w:val="Strong"/>
          <w:rFonts w:ascii="Arial" w:hAnsi="Arial" w:cs="Arial"/>
          <w:sz w:val="21"/>
          <w:szCs w:val="21"/>
        </w:rPr>
        <w:t>ookThrough</w:t>
      </w:r>
    </w:p>
    <w:p w14:paraId="6FBF3E17" w14:textId="77777777" w:rsidR="00A61590" w:rsidRPr="00A61590" w:rsidRDefault="00A61590" w:rsidP="00B02D3E">
      <w:pPr>
        <w:ind w:left="360"/>
        <w:rPr>
          <w:rStyle w:val="IntenseEmphasis"/>
        </w:rPr>
      </w:pPr>
      <w:r w:rsidRPr="00A61590">
        <w:rPr>
          <w:rStyle w:val="IntenseEmphasis"/>
        </w:rPr>
        <w:t>XAPWG agreed on the highlighted attribute among the following choices –</w:t>
      </w:r>
    </w:p>
    <w:p w14:paraId="16BDF1AB" w14:textId="77777777" w:rsidR="00A61590" w:rsidRPr="00A61590" w:rsidRDefault="00A61590" w:rsidP="00B02D3E">
      <w:pPr>
        <w:pStyle w:val="ListParagraph"/>
        <w:numPr>
          <w:ilvl w:val="0"/>
          <w:numId w:val="16"/>
        </w:numPr>
        <w:ind w:left="1136"/>
        <w:rPr>
          <w:rStyle w:val="IntenseEmphasis"/>
        </w:rPr>
      </w:pPr>
      <w:r w:rsidRPr="00A61590">
        <w:rPr>
          <w:rStyle w:val="IntenseEmphasis"/>
        </w:rPr>
        <w:t>depositoryReceiptLookThrough</w:t>
      </w:r>
    </w:p>
    <w:p w14:paraId="0FECE399" w14:textId="77777777" w:rsidR="00A61590" w:rsidRPr="00A61590" w:rsidRDefault="00A61590" w:rsidP="00B02D3E">
      <w:pPr>
        <w:pStyle w:val="ListParagraph"/>
        <w:numPr>
          <w:ilvl w:val="0"/>
          <w:numId w:val="15"/>
        </w:numPr>
        <w:ind w:left="1136"/>
        <w:rPr>
          <w:rStyle w:val="IntenseEmphasis"/>
        </w:rPr>
      </w:pPr>
      <w:r w:rsidRPr="00A61590">
        <w:rPr>
          <w:rStyle w:val="IntenseEmphasis"/>
        </w:rPr>
        <w:t>lookThrough</w:t>
      </w:r>
    </w:p>
    <w:p w14:paraId="3A09A907" w14:textId="56F692FB" w:rsidR="008A6F0C" w:rsidRDefault="008A6F0C" w:rsidP="00B829F2">
      <w:pPr>
        <w:pStyle w:val="ListParagraph"/>
        <w:ind w:left="0" w:firstLine="720"/>
        <w:rPr>
          <w:rFonts w:ascii="Arial" w:hAnsi="Arial" w:cs="Arial"/>
          <w:sz w:val="21"/>
          <w:szCs w:val="21"/>
        </w:rPr>
      </w:pPr>
    </w:p>
    <w:p w14:paraId="6CB38296" w14:textId="505E00DD" w:rsidR="00125BE1" w:rsidRPr="003229CE" w:rsidRDefault="00DA5EAC" w:rsidP="00B50916">
      <w:pPr>
        <w:ind w:left="576"/>
        <w:rPr>
          <w:sz w:val="20"/>
          <w:szCs w:val="20"/>
        </w:rPr>
      </w:pPr>
      <w:r w:rsidRPr="00B50916">
        <w:rPr>
          <w:rFonts w:ascii="Arial" w:hAnsi="Arial" w:cs="Arial"/>
          <w:sz w:val="21"/>
          <w:szCs w:val="21"/>
        </w:rPr>
        <w:t>Propose to</w:t>
      </w:r>
      <w:r w:rsidR="00125BE1" w:rsidRPr="00B50916">
        <w:rPr>
          <w:rFonts w:ascii="Arial" w:hAnsi="Arial" w:cs="Arial"/>
          <w:sz w:val="21"/>
          <w:szCs w:val="21"/>
        </w:rPr>
        <w:t xml:space="preserve"> add them in similar </w:t>
      </w:r>
      <w:r w:rsidR="007E3BEA" w:rsidRPr="00B50916">
        <w:rPr>
          <w:rFonts w:ascii="Arial" w:hAnsi="Arial" w:cs="Arial"/>
          <w:sz w:val="21"/>
          <w:szCs w:val="21"/>
        </w:rPr>
        <w:t>places</w:t>
      </w:r>
      <w:r w:rsidR="00125BE1" w:rsidRPr="00B50916">
        <w:rPr>
          <w:rFonts w:ascii="Arial" w:hAnsi="Arial" w:cs="Arial"/>
          <w:sz w:val="21"/>
          <w:szCs w:val="21"/>
        </w:rPr>
        <w:t xml:space="preserve"> to the Index Benchmark provisions above</w:t>
      </w:r>
      <w:r w:rsidRPr="00B50916">
        <w:rPr>
          <w:rFonts w:ascii="Arial" w:hAnsi="Arial" w:cs="Arial"/>
          <w:sz w:val="21"/>
          <w:szCs w:val="21"/>
        </w:rPr>
        <w:t xml:space="preserve"> extr</w:t>
      </w:r>
      <w:r w:rsidR="005C3ED1" w:rsidRPr="00B50916">
        <w:rPr>
          <w:rFonts w:ascii="Arial" w:hAnsi="Arial" w:cs="Arial"/>
          <w:sz w:val="21"/>
          <w:szCs w:val="21"/>
        </w:rPr>
        <w:t>a</w:t>
      </w:r>
      <w:r w:rsidRPr="00B50916">
        <w:rPr>
          <w:rFonts w:ascii="Arial" w:hAnsi="Arial" w:cs="Arial"/>
          <w:sz w:val="21"/>
          <w:szCs w:val="21"/>
        </w:rPr>
        <w:t>ordinaryEvents</w:t>
      </w:r>
    </w:p>
    <w:p w14:paraId="35864871" w14:textId="20D5BD0F" w:rsidR="00125BE1" w:rsidRDefault="000317BF" w:rsidP="00B1672E">
      <w:pPr>
        <w:ind w:left="720"/>
        <w:rPr>
          <w:b/>
          <w:bCs/>
          <w:sz w:val="20"/>
          <w:szCs w:val="20"/>
        </w:rPr>
      </w:pPr>
      <w:r w:rsidRPr="000317BF">
        <w:rPr>
          <w:b/>
          <w:bCs/>
          <w:noProof/>
          <w:sz w:val="20"/>
          <w:szCs w:val="20"/>
        </w:rPr>
        <w:lastRenderedPageBreak/>
        <w:drawing>
          <wp:inline distT="0" distB="0" distL="0" distR="0" wp14:anchorId="42C2A1D8" wp14:editId="13EAEB0B">
            <wp:extent cx="5134332" cy="3739408"/>
            <wp:effectExtent l="0" t="0" r="0" b="0"/>
            <wp:docPr id="724895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95342" name=""/>
                    <pic:cNvPicPr/>
                  </pic:nvPicPr>
                  <pic:blipFill>
                    <a:blip r:embed="rId59"/>
                    <a:stretch>
                      <a:fillRect/>
                    </a:stretch>
                  </pic:blipFill>
                  <pic:spPr>
                    <a:xfrm>
                      <a:off x="0" y="0"/>
                      <a:ext cx="5155967" cy="3755165"/>
                    </a:xfrm>
                    <a:prstGeom prst="rect">
                      <a:avLst/>
                    </a:prstGeom>
                  </pic:spPr>
                </pic:pic>
              </a:graphicData>
            </a:graphic>
          </wp:inline>
        </w:drawing>
      </w:r>
    </w:p>
    <w:p w14:paraId="48F9DCBC" w14:textId="6BE3A873" w:rsidR="000A45CE" w:rsidRPr="003229CE" w:rsidRDefault="000A45CE" w:rsidP="000A45CE">
      <w:pPr>
        <w:pStyle w:val="Heading2"/>
        <w:rPr>
          <w:sz w:val="24"/>
          <w:szCs w:val="24"/>
        </w:rPr>
      </w:pPr>
      <w:r w:rsidRPr="003229CE">
        <w:rPr>
          <w:sz w:val="24"/>
          <w:szCs w:val="24"/>
        </w:rPr>
        <w:t>Valid Values/Enumerations</w:t>
      </w:r>
      <w:r w:rsidRPr="003229CE">
        <w:rPr>
          <w:sz w:val="24"/>
          <w:szCs w:val="24"/>
          <w:u w:val="single"/>
        </w:rPr>
        <w:t>:</w:t>
      </w:r>
    </w:p>
    <w:p w14:paraId="1D3658D0" w14:textId="1B9B48EE" w:rsidR="000A45CE" w:rsidRPr="00B50916" w:rsidRDefault="000A45CE" w:rsidP="00475EB8">
      <w:pPr>
        <w:pStyle w:val="ListParagraph"/>
        <w:numPr>
          <w:ilvl w:val="0"/>
          <w:numId w:val="3"/>
        </w:numPr>
        <w:rPr>
          <w:rFonts w:ascii="Arial" w:hAnsi="Arial" w:cs="Arial"/>
          <w:sz w:val="21"/>
          <w:szCs w:val="21"/>
        </w:rPr>
      </w:pPr>
      <w:r w:rsidRPr="00B50916">
        <w:rPr>
          <w:rFonts w:ascii="Arial" w:hAnsi="Arial" w:cs="Arial"/>
          <w:sz w:val="21"/>
          <w:szCs w:val="21"/>
        </w:rPr>
        <w:t>Full</w:t>
      </w:r>
      <w:r w:rsidR="00523860">
        <w:rPr>
          <w:rFonts w:ascii="Arial" w:hAnsi="Arial" w:cs="Arial"/>
          <w:sz w:val="21"/>
          <w:szCs w:val="21"/>
        </w:rPr>
        <w:t>D</w:t>
      </w:r>
      <w:r w:rsidR="000C40D0">
        <w:rPr>
          <w:rFonts w:ascii="Arial" w:hAnsi="Arial" w:cs="Arial"/>
          <w:sz w:val="21"/>
          <w:szCs w:val="21"/>
        </w:rPr>
        <w:t>epository</w:t>
      </w:r>
      <w:r w:rsidR="00523860">
        <w:rPr>
          <w:rFonts w:ascii="Arial" w:hAnsi="Arial" w:cs="Arial"/>
          <w:sz w:val="21"/>
          <w:szCs w:val="21"/>
        </w:rPr>
        <w:t>R</w:t>
      </w:r>
      <w:r w:rsidR="007C5B52">
        <w:rPr>
          <w:rFonts w:ascii="Arial" w:hAnsi="Arial" w:cs="Arial"/>
          <w:sz w:val="21"/>
          <w:szCs w:val="21"/>
        </w:rPr>
        <w:t>eceipt</w:t>
      </w:r>
    </w:p>
    <w:p w14:paraId="66545DA7" w14:textId="0A776864" w:rsidR="000A45CE" w:rsidRDefault="000A45CE" w:rsidP="00475EB8">
      <w:pPr>
        <w:pStyle w:val="ListParagraph"/>
        <w:numPr>
          <w:ilvl w:val="0"/>
          <w:numId w:val="3"/>
        </w:numPr>
        <w:rPr>
          <w:rFonts w:ascii="Arial" w:hAnsi="Arial" w:cs="Arial"/>
          <w:sz w:val="21"/>
          <w:szCs w:val="21"/>
        </w:rPr>
      </w:pPr>
      <w:r w:rsidRPr="00B50916">
        <w:rPr>
          <w:rFonts w:ascii="Arial" w:hAnsi="Arial" w:cs="Arial"/>
          <w:sz w:val="21"/>
          <w:szCs w:val="21"/>
        </w:rPr>
        <w:t>Partial</w:t>
      </w:r>
      <w:r w:rsidR="007C5B52">
        <w:rPr>
          <w:rFonts w:ascii="Arial" w:hAnsi="Arial" w:cs="Arial"/>
          <w:sz w:val="21"/>
          <w:szCs w:val="21"/>
        </w:rPr>
        <w:t>DepositoryReceipt</w:t>
      </w:r>
    </w:p>
    <w:p w14:paraId="2015B40B" w14:textId="72723D69" w:rsidR="007A6E5F" w:rsidRPr="007A6E5F" w:rsidRDefault="007A6E5F" w:rsidP="007A6E5F">
      <w:pPr>
        <w:rPr>
          <w:rFonts w:ascii="Arial" w:hAnsi="Arial" w:cs="Arial"/>
          <w:sz w:val="21"/>
          <w:szCs w:val="21"/>
        </w:rPr>
      </w:pPr>
      <w:r w:rsidRPr="007A6E5F">
        <w:rPr>
          <w:rFonts w:ascii="Arial" w:hAnsi="Arial" w:cs="Arial"/>
          <w:sz w:val="21"/>
          <w:szCs w:val="21"/>
          <w:u w:val="single"/>
        </w:rPr>
        <w:t>Example</w:t>
      </w:r>
      <w:r>
        <w:rPr>
          <w:rFonts w:ascii="Arial" w:hAnsi="Arial" w:cs="Arial"/>
          <w:sz w:val="21"/>
          <w:szCs w:val="21"/>
        </w:rPr>
        <w:t xml:space="preserve">: </w:t>
      </w:r>
      <w:r w:rsidRPr="007A6E5F">
        <w:rPr>
          <w:rFonts w:ascii="Arial" w:hAnsi="Arial" w:cs="Arial"/>
          <w:noProof/>
          <w:sz w:val="21"/>
          <w:szCs w:val="21"/>
        </w:rPr>
        <w:drawing>
          <wp:inline distT="0" distB="0" distL="0" distR="0" wp14:anchorId="23AAD77D" wp14:editId="5A5B17B6">
            <wp:extent cx="5339751" cy="2014061"/>
            <wp:effectExtent l="19050" t="19050" r="13335" b="24765"/>
            <wp:docPr id="1740131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31216" name=""/>
                    <pic:cNvPicPr/>
                  </pic:nvPicPr>
                  <pic:blipFill>
                    <a:blip r:embed="rId60"/>
                    <a:stretch>
                      <a:fillRect/>
                    </a:stretch>
                  </pic:blipFill>
                  <pic:spPr>
                    <a:xfrm>
                      <a:off x="0" y="0"/>
                      <a:ext cx="5364663" cy="2023457"/>
                    </a:xfrm>
                    <a:prstGeom prst="rect">
                      <a:avLst/>
                    </a:prstGeom>
                    <a:ln>
                      <a:solidFill>
                        <a:schemeClr val="accent1"/>
                      </a:solidFill>
                    </a:ln>
                  </pic:spPr>
                </pic:pic>
              </a:graphicData>
            </a:graphic>
          </wp:inline>
        </w:drawing>
      </w:r>
    </w:p>
    <w:p w14:paraId="1B40F606" w14:textId="77777777" w:rsidR="000A45CE" w:rsidRPr="003229CE" w:rsidRDefault="000A45CE" w:rsidP="000A45CE">
      <w:pPr>
        <w:pStyle w:val="Heading2"/>
        <w:rPr>
          <w:sz w:val="24"/>
          <w:szCs w:val="24"/>
        </w:rPr>
      </w:pPr>
      <w:r w:rsidRPr="003229CE">
        <w:rPr>
          <w:sz w:val="24"/>
          <w:szCs w:val="24"/>
        </w:rPr>
        <w:t>Applicability Condition</w:t>
      </w:r>
    </w:p>
    <w:p w14:paraId="3ED934FE" w14:textId="6B08F626" w:rsidR="00006E76" w:rsidRDefault="00006E76" w:rsidP="000A45CE">
      <w:pPr>
        <w:ind w:left="576"/>
        <w:rPr>
          <w:rFonts w:ascii="Arial" w:hAnsi="Arial" w:cs="Arial"/>
          <w:sz w:val="21"/>
          <w:szCs w:val="21"/>
        </w:rPr>
      </w:pPr>
      <w:r w:rsidRPr="00B50916">
        <w:rPr>
          <w:rFonts w:ascii="Arial" w:hAnsi="Arial" w:cs="Arial"/>
          <w:sz w:val="21"/>
          <w:szCs w:val="21"/>
        </w:rPr>
        <w:t>These fields/elections are relevant to share transactions only.</w:t>
      </w:r>
      <w:r w:rsidR="00125BE1" w:rsidRPr="00B50916">
        <w:rPr>
          <w:rFonts w:ascii="Arial" w:hAnsi="Arial" w:cs="Arial"/>
          <w:sz w:val="21"/>
          <w:szCs w:val="21"/>
        </w:rPr>
        <w:br/>
      </w:r>
      <w:r w:rsidRPr="00B50916">
        <w:rPr>
          <w:rFonts w:ascii="Arial" w:hAnsi="Arial" w:cs="Arial"/>
          <w:sz w:val="21"/>
          <w:szCs w:val="21"/>
        </w:rPr>
        <w:t>underlyer=singleUnderlier=equity, or basketConstituent=equity</w:t>
      </w:r>
    </w:p>
    <w:p w14:paraId="04C81D8E" w14:textId="77777777" w:rsidR="00203BB2" w:rsidRPr="00B50916" w:rsidRDefault="00203BB2" w:rsidP="000A45CE">
      <w:pPr>
        <w:ind w:left="576"/>
        <w:rPr>
          <w:rFonts w:ascii="Arial" w:hAnsi="Arial" w:cs="Arial"/>
          <w:sz w:val="21"/>
          <w:szCs w:val="21"/>
        </w:rPr>
      </w:pPr>
    </w:p>
    <w:p w14:paraId="187E24F1" w14:textId="2E39EE6C" w:rsidR="00D57B74" w:rsidRPr="00203BB2" w:rsidRDefault="00D57B74" w:rsidP="00203BB2">
      <w:pPr>
        <w:pStyle w:val="Heading1"/>
        <w:rPr>
          <w:sz w:val="32"/>
          <w:szCs w:val="32"/>
        </w:rPr>
      </w:pPr>
      <w:bookmarkStart w:id="11" w:name="_Toc223723269"/>
      <w:r w:rsidRPr="00203BB2">
        <w:rPr>
          <w:sz w:val="32"/>
          <w:szCs w:val="32"/>
        </w:rPr>
        <w:lastRenderedPageBreak/>
        <w:t>Appendix</w:t>
      </w:r>
      <w:bookmarkEnd w:id="11"/>
    </w:p>
    <w:p w14:paraId="39D71EB7" w14:textId="6EC359A2" w:rsidR="00B35725" w:rsidRPr="00B50916" w:rsidRDefault="00B35725" w:rsidP="00D57B74">
      <w:pPr>
        <w:rPr>
          <w:rFonts w:ascii="Arial" w:hAnsi="Arial" w:cs="Arial"/>
          <w:sz w:val="21"/>
          <w:szCs w:val="21"/>
        </w:rPr>
      </w:pPr>
      <w:r w:rsidRPr="00B50916">
        <w:rPr>
          <w:rFonts w:ascii="Arial" w:hAnsi="Arial" w:cs="Arial"/>
          <w:sz w:val="21"/>
          <w:szCs w:val="21"/>
        </w:rPr>
        <w:t>Attached are schema files and sample examples.</w:t>
      </w:r>
    </w:p>
    <w:p w14:paraId="695CDF16" w14:textId="55B3F0F0" w:rsidR="00D57B74" w:rsidRPr="00B50916" w:rsidRDefault="00DC716B" w:rsidP="000A45CE">
      <w:pPr>
        <w:ind w:left="576"/>
        <w:rPr>
          <w:rFonts w:ascii="Arial" w:hAnsi="Arial" w:cs="Arial"/>
          <w:sz w:val="21"/>
          <w:szCs w:val="21"/>
        </w:rPr>
      </w:pPr>
      <w:r>
        <w:rPr>
          <w:rFonts w:ascii="Arial" w:hAnsi="Arial" w:cs="Arial"/>
          <w:sz w:val="21"/>
          <w:szCs w:val="21"/>
        </w:rPr>
        <w:object w:dxaOrig="3166" w:dyaOrig="811" w14:anchorId="732F08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40.5pt" o:ole="">
            <v:imagedata r:id="rId61" o:title=""/>
          </v:shape>
          <o:OLEObject Type="Embed" ProgID="Package" ShapeID="_x0000_i1025" DrawAspect="Content" ObjectID="_1851080302" r:id="rId62"/>
        </w:object>
      </w:r>
    </w:p>
    <w:sectPr w:rsidR="00D57B74" w:rsidRPr="00B50916" w:rsidSect="005A62FA">
      <w:headerReference w:type="default" r:id="rId63"/>
      <w:footerReference w:type="default" r:id="rId64"/>
      <w:pgSz w:w="12240" w:h="15840"/>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arc Gratacos" w:date="2026-02-10T10:54:00Z" w:initials="MG">
    <w:p w14:paraId="5B754F32" w14:textId="77777777" w:rsidR="00316B42" w:rsidRDefault="00316B42" w:rsidP="00316B42">
      <w:r>
        <w:rPr>
          <w:rStyle w:val="CommentReference"/>
        </w:rPr>
        <w:annotationRef/>
      </w:r>
      <w:r>
        <w:rPr>
          <w:sz w:val="20"/>
          <w:szCs w:val="20"/>
        </w:rPr>
        <w:t>Can we make it shorter?</w:t>
      </w:r>
    </w:p>
  </w:comment>
  <w:comment w:id="3" w:author="Gaurav Pandey" w:date="2026-03-10T19:00:00Z" w:initials="GP">
    <w:p w14:paraId="20D42E76" w14:textId="613BEB15" w:rsidR="00466368" w:rsidRDefault="00280B9A" w:rsidP="00466368">
      <w:pPr>
        <w:pStyle w:val="CommentText"/>
      </w:pPr>
      <w:r>
        <w:rPr>
          <w:rStyle w:val="CommentReference"/>
        </w:rPr>
        <w:annotationRef/>
      </w:r>
      <w:r w:rsidR="00466368">
        <w:rPr>
          <w:b/>
          <w:bCs/>
        </w:rPr>
        <w:t xml:space="preserve">XAPWG </w:t>
      </w:r>
      <w:r w:rsidR="00466368">
        <w:t>agreed on the highlighted attribute among the following choices –</w:t>
      </w:r>
    </w:p>
    <w:p w14:paraId="070739FD" w14:textId="77777777" w:rsidR="00466368" w:rsidRDefault="00466368" w:rsidP="00475EB8">
      <w:pPr>
        <w:pStyle w:val="CommentText"/>
        <w:numPr>
          <w:ilvl w:val="0"/>
          <w:numId w:val="18"/>
        </w:numPr>
      </w:pPr>
      <w:r>
        <w:t>nonCommencementOrETCDiscontinuationConsequences</w:t>
      </w:r>
    </w:p>
    <w:p w14:paraId="3B485F93" w14:textId="77777777" w:rsidR="00466368" w:rsidRDefault="00466368" w:rsidP="00475EB8">
      <w:pPr>
        <w:pStyle w:val="CommentText"/>
        <w:numPr>
          <w:ilvl w:val="0"/>
          <w:numId w:val="18"/>
        </w:numPr>
      </w:pPr>
      <w:r>
        <w:t>nonCommencementOrDiscontinuationConsequences</w:t>
      </w:r>
    </w:p>
    <w:p w14:paraId="45931C2C" w14:textId="77777777" w:rsidR="00466368" w:rsidRDefault="00466368" w:rsidP="00475EB8">
      <w:pPr>
        <w:pStyle w:val="CommentText"/>
        <w:numPr>
          <w:ilvl w:val="0"/>
          <w:numId w:val="18"/>
        </w:numPr>
      </w:pPr>
      <w:r>
        <w:rPr>
          <w:b/>
          <w:bCs/>
        </w:rPr>
        <w:t>nonCommencementOrDiscontinuation</w:t>
      </w:r>
    </w:p>
  </w:comment>
  <w:comment w:id="5" w:author="Michelangelo de Marzio" w:date="2026-02-10T10:06:00Z" w:initials="Md">
    <w:p w14:paraId="4559D7EF" w14:textId="77777777" w:rsidR="00F925A4" w:rsidRDefault="00F925A4">
      <w:pPr>
        <w:pStyle w:val="CommentText"/>
      </w:pPr>
      <w:r>
        <w:rPr>
          <w:rStyle w:val="CommentReference"/>
        </w:rPr>
        <w:annotationRef/>
      </w:r>
      <w:r>
        <w:t>That is the default value, no need to specify it</w:t>
      </w:r>
    </w:p>
  </w:comment>
  <w:comment w:id="6" w:author="Gaurav Pandey" w:date="2026-03-10T10:57:00Z" w:initials="GP">
    <w:p w14:paraId="3263BBE9" w14:textId="77777777" w:rsidR="00F2552F" w:rsidRDefault="00F2552F" w:rsidP="00F2552F">
      <w:pPr>
        <w:pStyle w:val="CommentText"/>
      </w:pPr>
      <w:r>
        <w:rPr>
          <w:rStyle w:val="CommentReference"/>
        </w:rPr>
        <w:annotationRef/>
      </w:r>
      <w:r>
        <w:rPr>
          <w:lang w:val="en-GB"/>
        </w:rPr>
        <w:t>Agreed to be adopted in the documentation.</w:t>
      </w:r>
    </w:p>
  </w:comment>
  <w:comment w:id="7" w:author="Gaurav Pandey" w:date="2026-02-17T17:06:00Z" w:initials="GP">
    <w:p w14:paraId="21C63303" w14:textId="77777777" w:rsidR="00FA5B4A" w:rsidRDefault="00DF47ED" w:rsidP="00FA5B4A">
      <w:pPr>
        <w:pStyle w:val="CommentText"/>
      </w:pPr>
      <w:r>
        <w:rPr>
          <w:rStyle w:val="CommentReference"/>
        </w:rPr>
        <w:annotationRef/>
      </w:r>
      <w:r w:rsidR="00FA5B4A">
        <w:rPr>
          <w:lang w:val="en-GB"/>
        </w:rPr>
        <w:t xml:space="preserve">Further validation by industry experts is required to confirm whether </w:t>
      </w:r>
      <w:r w:rsidR="00FA5B4A">
        <w:rPr>
          <w:i/>
          <w:iCs/>
          <w:lang w:val="en-GB"/>
        </w:rPr>
        <w:t>SpecificTime</w:t>
      </w:r>
      <w:r w:rsidR="00FA5B4A">
        <w:rPr>
          <w:lang w:val="en-GB"/>
        </w:rPr>
        <w:t xml:space="preserve"> may be used in conjunction with </w:t>
      </w:r>
      <w:r w:rsidR="00FA5B4A">
        <w:rPr>
          <w:i/>
          <w:iCs/>
          <w:lang w:val="en-GB"/>
        </w:rPr>
        <w:t>valuationSession</w:t>
      </w:r>
      <w:r w:rsidR="00FA5B4A">
        <w:rPr>
          <w:lang w:val="en-GB"/>
        </w:rPr>
        <w:t xml:space="preserve">, or whether an additional explicit value (i.e., </w:t>
      </w:r>
      <w:r w:rsidR="00FA5B4A">
        <w:rPr>
          <w:i/>
          <w:iCs/>
          <w:lang w:val="en-GB"/>
        </w:rPr>
        <w:t>TimeSession</w:t>
      </w:r>
      <w:r w:rsidR="00FA5B4A">
        <w:rPr>
          <w:lang w:val="en-GB"/>
        </w:rPr>
        <w:t>) is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754F32" w15:done="1"/>
  <w15:commentEx w15:paraId="45931C2C" w15:paraIdParent="5B754F32" w15:done="1"/>
  <w15:commentEx w15:paraId="4559D7EF" w15:done="1"/>
  <w15:commentEx w15:paraId="3263BBE9" w15:paraIdParent="4559D7EF" w15:done="1"/>
  <w15:commentEx w15:paraId="21C6330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FC20E0" w16cex:dateUtc="2026-02-10T09:54:00Z"/>
  <w16cex:commentExtensible w16cex:durableId="4E25EE8B" w16cex:dateUtc="2026-03-10T19:00:00Z"/>
  <w16cex:commentExtensible w16cex:durableId="13536DDE" w16cex:dateUtc="2026-02-10T10:06:00Z"/>
  <w16cex:commentExtensible w16cex:durableId="41000509" w16cex:dateUtc="2026-03-10T10:57:00Z"/>
  <w16cex:commentExtensible w16cex:durableId="23066ADC" w16cex:dateUtc="2026-02-17T1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754F32" w16cid:durableId="4CFC20E0"/>
  <w16cid:commentId w16cid:paraId="45931C2C" w16cid:durableId="4E25EE8B"/>
  <w16cid:commentId w16cid:paraId="4559D7EF" w16cid:durableId="13536DDE"/>
  <w16cid:commentId w16cid:paraId="3263BBE9" w16cid:durableId="41000509"/>
  <w16cid:commentId w16cid:paraId="21C63303" w16cid:durableId="23066A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11301" w14:textId="77777777" w:rsidR="00430C52" w:rsidRDefault="00430C52" w:rsidP="00EA7C6A">
      <w:pPr>
        <w:spacing w:after="0" w:line="240" w:lineRule="auto"/>
      </w:pPr>
      <w:r>
        <w:separator/>
      </w:r>
    </w:p>
  </w:endnote>
  <w:endnote w:type="continuationSeparator" w:id="0">
    <w:p w14:paraId="2495A9B5" w14:textId="77777777" w:rsidR="00430C52" w:rsidRDefault="00430C52" w:rsidP="00EA7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18F5" w14:textId="2434008D" w:rsidR="00561798" w:rsidRDefault="00170488" w:rsidP="00BD2965">
    <w:pPr>
      <w:pStyle w:val="Footer"/>
    </w:pPr>
    <w:r w:rsidRPr="00170488">
      <w:t xml:space="preserve">FpML </w:t>
    </w:r>
    <w:r w:rsidR="005642A2">
      <w:t>p</w:t>
    </w:r>
    <w:r w:rsidRPr="00170488">
      <w:t>roposal</w:t>
    </w:r>
    <w:r w:rsidR="005642A2">
      <w:t xml:space="preserve"> strictly</w:t>
    </w:r>
    <w:r w:rsidRPr="00170488">
      <w:t xml:space="preserve"> for WG deliberation</w:t>
    </w:r>
    <w:sdt>
      <w:sdtPr>
        <w:id w:val="1703974528"/>
        <w:docPartObj>
          <w:docPartGallery w:val="Page Numbers (Bottom of Page)"/>
          <w:docPartUnique/>
        </w:docPartObj>
      </w:sdtPr>
      <w:sdtEndPr>
        <w:rPr>
          <w:noProof/>
        </w:rPr>
      </w:sdtEndPr>
      <w:sdtContent>
        <w:r w:rsidR="00561798">
          <w:tab/>
        </w:r>
        <w:r w:rsidR="00BD2965">
          <w:tab/>
        </w:r>
        <w:r w:rsidR="00561798">
          <w:fldChar w:fldCharType="begin"/>
        </w:r>
        <w:r w:rsidR="00561798">
          <w:instrText xml:space="preserve"> PAGE   \* MERGEFORMAT </w:instrText>
        </w:r>
        <w:r w:rsidR="00561798">
          <w:fldChar w:fldCharType="separate"/>
        </w:r>
        <w:r w:rsidR="00561798">
          <w:rPr>
            <w:noProof/>
          </w:rPr>
          <w:t>2</w:t>
        </w:r>
        <w:r w:rsidR="00561798">
          <w:rPr>
            <w:noProof/>
          </w:rPr>
          <w:fldChar w:fldCharType="end"/>
        </w:r>
      </w:sdtContent>
    </w:sdt>
  </w:p>
  <w:p w14:paraId="7513E2B1" w14:textId="4E684E1A" w:rsidR="00EA7C6A" w:rsidRDefault="00EA7C6A" w:rsidP="00561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FBC3E" w14:textId="77777777" w:rsidR="00430C52" w:rsidRDefault="00430C52" w:rsidP="00EA7C6A">
      <w:pPr>
        <w:spacing w:after="0" w:line="240" w:lineRule="auto"/>
      </w:pPr>
      <w:r>
        <w:separator/>
      </w:r>
    </w:p>
  </w:footnote>
  <w:footnote w:type="continuationSeparator" w:id="0">
    <w:p w14:paraId="522508CB" w14:textId="77777777" w:rsidR="00430C52" w:rsidRDefault="00430C52" w:rsidP="00EA7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56B4" w14:textId="0798669B" w:rsidR="00117770" w:rsidRDefault="00117770">
    <w:pPr>
      <w:pStyle w:val="Header"/>
      <w:rPr>
        <w:rFonts w:eastAsia="Calibri"/>
      </w:rPr>
    </w:pPr>
    <w:r>
      <w:rPr>
        <w:noProof/>
      </w:rPr>
      <w:drawing>
        <wp:inline distT="0" distB="0" distL="0" distR="0" wp14:anchorId="3FF5E2B8" wp14:editId="0C68F06C">
          <wp:extent cx="1104900" cy="440690"/>
          <wp:effectExtent l="0" t="0" r="0" b="0"/>
          <wp:docPr id="5987" name="Picture 5987"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5987" name="Picture 5987" descr="A picture containing text, clipart&#10;&#10;Description automatically generated"/>
                  <pic:cNvPicPr/>
                </pic:nvPicPr>
                <pic:blipFill>
                  <a:blip r:embed="rId1"/>
                  <a:stretch>
                    <a:fillRect/>
                  </a:stretch>
                </pic:blipFill>
                <pic:spPr>
                  <a:xfrm>
                    <a:off x="0" y="0"/>
                    <a:ext cx="1106124" cy="441178"/>
                  </a:xfrm>
                  <a:prstGeom prst="rect">
                    <a:avLst/>
                  </a:prstGeom>
                </pic:spPr>
              </pic:pic>
            </a:graphicData>
          </a:graphic>
        </wp:inline>
      </w:drawing>
    </w:r>
    <w:r>
      <w:rPr>
        <w:rFonts w:eastAsia="Calibri"/>
      </w:rPr>
      <w:tab/>
      <w:t xml:space="preserve">                                              </w:t>
    </w:r>
    <w:r>
      <w:rPr>
        <w:rFonts w:eastAsia="Calibri"/>
      </w:rPr>
      <w:tab/>
    </w:r>
    <w:r w:rsidR="00436B96">
      <w:rPr>
        <w:rFonts w:eastAsia="Calibri"/>
      </w:rPr>
      <w:t xml:space="preserve">               </w:t>
    </w:r>
    <w:r>
      <w:rPr>
        <w:noProof/>
      </w:rPr>
      <w:drawing>
        <wp:inline distT="0" distB="0" distL="0" distR="0" wp14:anchorId="54935298" wp14:editId="0E50F3AC">
          <wp:extent cx="1285875" cy="320675"/>
          <wp:effectExtent l="0" t="0" r="9525" b="3175"/>
          <wp:docPr id="11" name="Picture 1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a:blip r:embed="rId2"/>
                  <a:stretch>
                    <a:fillRect/>
                  </a:stretch>
                </pic:blipFill>
                <pic:spPr>
                  <a:xfrm>
                    <a:off x="0" y="0"/>
                    <a:ext cx="1285875" cy="320675"/>
                  </a:xfrm>
                  <a:prstGeom prst="rect">
                    <a:avLst/>
                  </a:prstGeom>
                </pic:spPr>
              </pic:pic>
            </a:graphicData>
          </a:graphic>
        </wp:inline>
      </w:drawing>
    </w:r>
  </w:p>
  <w:p w14:paraId="09F48951" w14:textId="77777777" w:rsidR="00117770" w:rsidRDefault="00117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91A"/>
    <w:multiLevelType w:val="hybridMultilevel"/>
    <w:tmpl w:val="43C8AC4E"/>
    <w:lvl w:ilvl="0" w:tplc="74684AE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071F6"/>
    <w:multiLevelType w:val="multilevel"/>
    <w:tmpl w:val="918A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F3051"/>
    <w:multiLevelType w:val="multilevel"/>
    <w:tmpl w:val="AE5EED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92EFC"/>
    <w:multiLevelType w:val="multilevel"/>
    <w:tmpl w:val="8488C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F0F10"/>
    <w:multiLevelType w:val="multilevel"/>
    <w:tmpl w:val="9A46F4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FD5E7E"/>
    <w:multiLevelType w:val="hybridMultilevel"/>
    <w:tmpl w:val="B3F65E08"/>
    <w:lvl w:ilvl="0" w:tplc="C1F421D4">
      <w:start w:val="1"/>
      <w:numFmt w:val="bullet"/>
      <w:lvlText w:val=""/>
      <w:lvlJc w:val="left"/>
      <w:pPr>
        <w:ind w:left="1440" w:hanging="360"/>
      </w:pPr>
      <w:rPr>
        <w:rFonts w:ascii="Symbol" w:hAnsi="Symbol"/>
      </w:rPr>
    </w:lvl>
    <w:lvl w:ilvl="1" w:tplc="14F0BC72">
      <w:start w:val="1"/>
      <w:numFmt w:val="bullet"/>
      <w:lvlText w:val=""/>
      <w:lvlJc w:val="left"/>
      <w:pPr>
        <w:ind w:left="1440" w:hanging="360"/>
      </w:pPr>
      <w:rPr>
        <w:rFonts w:ascii="Symbol" w:hAnsi="Symbol"/>
      </w:rPr>
    </w:lvl>
    <w:lvl w:ilvl="2" w:tplc="D8C0D924">
      <w:start w:val="1"/>
      <w:numFmt w:val="bullet"/>
      <w:lvlText w:val=""/>
      <w:lvlJc w:val="left"/>
      <w:pPr>
        <w:ind w:left="1440" w:hanging="360"/>
      </w:pPr>
      <w:rPr>
        <w:rFonts w:ascii="Symbol" w:hAnsi="Symbol"/>
      </w:rPr>
    </w:lvl>
    <w:lvl w:ilvl="3" w:tplc="C846B014">
      <w:start w:val="1"/>
      <w:numFmt w:val="bullet"/>
      <w:lvlText w:val=""/>
      <w:lvlJc w:val="left"/>
      <w:pPr>
        <w:ind w:left="1440" w:hanging="360"/>
      </w:pPr>
      <w:rPr>
        <w:rFonts w:ascii="Symbol" w:hAnsi="Symbol"/>
      </w:rPr>
    </w:lvl>
    <w:lvl w:ilvl="4" w:tplc="697C586A">
      <w:start w:val="1"/>
      <w:numFmt w:val="bullet"/>
      <w:lvlText w:val=""/>
      <w:lvlJc w:val="left"/>
      <w:pPr>
        <w:ind w:left="1440" w:hanging="360"/>
      </w:pPr>
      <w:rPr>
        <w:rFonts w:ascii="Symbol" w:hAnsi="Symbol"/>
      </w:rPr>
    </w:lvl>
    <w:lvl w:ilvl="5" w:tplc="58A889D2">
      <w:start w:val="1"/>
      <w:numFmt w:val="bullet"/>
      <w:lvlText w:val=""/>
      <w:lvlJc w:val="left"/>
      <w:pPr>
        <w:ind w:left="1440" w:hanging="360"/>
      </w:pPr>
      <w:rPr>
        <w:rFonts w:ascii="Symbol" w:hAnsi="Symbol"/>
      </w:rPr>
    </w:lvl>
    <w:lvl w:ilvl="6" w:tplc="B16E58C2">
      <w:start w:val="1"/>
      <w:numFmt w:val="bullet"/>
      <w:lvlText w:val=""/>
      <w:lvlJc w:val="left"/>
      <w:pPr>
        <w:ind w:left="1440" w:hanging="360"/>
      </w:pPr>
      <w:rPr>
        <w:rFonts w:ascii="Symbol" w:hAnsi="Symbol"/>
      </w:rPr>
    </w:lvl>
    <w:lvl w:ilvl="7" w:tplc="6DF0FB3C">
      <w:start w:val="1"/>
      <w:numFmt w:val="bullet"/>
      <w:lvlText w:val=""/>
      <w:lvlJc w:val="left"/>
      <w:pPr>
        <w:ind w:left="1440" w:hanging="360"/>
      </w:pPr>
      <w:rPr>
        <w:rFonts w:ascii="Symbol" w:hAnsi="Symbol"/>
      </w:rPr>
    </w:lvl>
    <w:lvl w:ilvl="8" w:tplc="BC7ED906">
      <w:start w:val="1"/>
      <w:numFmt w:val="bullet"/>
      <w:lvlText w:val=""/>
      <w:lvlJc w:val="left"/>
      <w:pPr>
        <w:ind w:left="1440" w:hanging="360"/>
      </w:pPr>
      <w:rPr>
        <w:rFonts w:ascii="Symbol" w:hAnsi="Symbol"/>
      </w:rPr>
    </w:lvl>
  </w:abstractNum>
  <w:abstractNum w:abstractNumId="6" w15:restartNumberingAfterBreak="0">
    <w:nsid w:val="38F12836"/>
    <w:multiLevelType w:val="hybridMultilevel"/>
    <w:tmpl w:val="B05EAEDE"/>
    <w:lvl w:ilvl="0" w:tplc="74684AE8">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7" w15:restartNumberingAfterBreak="0">
    <w:nsid w:val="39745CC3"/>
    <w:multiLevelType w:val="hybridMultilevel"/>
    <w:tmpl w:val="B8960A16"/>
    <w:lvl w:ilvl="0" w:tplc="D01446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041463"/>
    <w:multiLevelType w:val="hybridMultilevel"/>
    <w:tmpl w:val="3D729EAE"/>
    <w:lvl w:ilvl="0" w:tplc="04090003">
      <w:start w:val="1"/>
      <w:numFmt w:val="bullet"/>
      <w:lvlText w:val="o"/>
      <w:lvlJc w:val="left"/>
      <w:pPr>
        <w:ind w:left="2016" w:hanging="360"/>
      </w:pPr>
      <w:rPr>
        <w:rFonts w:ascii="Courier New" w:hAnsi="Courier New" w:cs="Courier New"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9" w15:restartNumberingAfterBreak="0">
    <w:nsid w:val="46D80760"/>
    <w:multiLevelType w:val="hybridMultilevel"/>
    <w:tmpl w:val="4DE4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791F59"/>
    <w:multiLevelType w:val="multilevel"/>
    <w:tmpl w:val="BCEAE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DF2176"/>
    <w:multiLevelType w:val="hybridMultilevel"/>
    <w:tmpl w:val="FDC4E216"/>
    <w:lvl w:ilvl="0" w:tplc="74684AE8">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2" w15:restartNumberingAfterBreak="0">
    <w:nsid w:val="4AB55722"/>
    <w:multiLevelType w:val="hybridMultilevel"/>
    <w:tmpl w:val="DFD8F5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C1D48C4"/>
    <w:multiLevelType w:val="multilevel"/>
    <w:tmpl w:val="9762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C62C67"/>
    <w:multiLevelType w:val="multilevel"/>
    <w:tmpl w:val="60C6E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37BF5"/>
    <w:multiLevelType w:val="multilevel"/>
    <w:tmpl w:val="69E6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B0C21"/>
    <w:multiLevelType w:val="hybridMultilevel"/>
    <w:tmpl w:val="E674874E"/>
    <w:lvl w:ilvl="0" w:tplc="D8361AD6">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E7922D5"/>
    <w:multiLevelType w:val="multilevel"/>
    <w:tmpl w:val="1E7E2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2C5D9C"/>
    <w:multiLevelType w:val="multilevel"/>
    <w:tmpl w:val="FADA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84728A"/>
    <w:multiLevelType w:val="multilevel"/>
    <w:tmpl w:val="ACC46802"/>
    <w:lvl w:ilvl="0">
      <w:start w:val="1"/>
      <w:numFmt w:val="decimal"/>
      <w:pStyle w:val="Heading1"/>
      <w:lvlText w:val="%1"/>
      <w:lvlJc w:val="left"/>
      <w:pPr>
        <w:ind w:left="432" w:hanging="432"/>
      </w:pPr>
      <w:rPr>
        <w:rFonts w:hint="default"/>
        <w:u w:val="single"/>
      </w:rPr>
    </w:lvl>
    <w:lvl w:ilvl="1">
      <w:start w:val="1"/>
      <w:numFmt w:val="decimal"/>
      <w:pStyle w:val="Heading2"/>
      <w:lvlText w:val="%1.%2"/>
      <w:lvlJc w:val="left"/>
      <w:pPr>
        <w:ind w:left="576" w:hanging="576"/>
      </w:pPr>
      <w:rPr>
        <w:rFonts w:hint="default"/>
        <w:u w:val="single"/>
      </w:rPr>
    </w:lvl>
    <w:lvl w:ilvl="2">
      <w:start w:val="1"/>
      <w:numFmt w:val="decimal"/>
      <w:pStyle w:val="Heading3"/>
      <w:lvlText w:val="%1.%2.%3"/>
      <w:lvlJc w:val="left"/>
      <w:pPr>
        <w:ind w:left="720" w:hanging="720"/>
      </w:pPr>
      <w:rPr>
        <w:rFonts w:asciiTheme="majorHAnsi" w:hAnsiTheme="majorHAnsi" w:cstheme="majorHAnsi" w:hint="default"/>
        <w:sz w:val="24"/>
        <w:szCs w:val="24"/>
      </w:rPr>
    </w:lvl>
    <w:lvl w:ilvl="3">
      <w:start w:val="1"/>
      <w:numFmt w:val="decimal"/>
      <w:pStyle w:val="Heading4"/>
      <w:lvlText w:val="%1.%2.%3.%4"/>
      <w:lvlJc w:val="left"/>
      <w:pPr>
        <w:ind w:left="864" w:hanging="864"/>
      </w:pPr>
      <w:rPr>
        <w:rFonts w:hint="default"/>
        <w:u w:val="single"/>
      </w:rPr>
    </w:lvl>
    <w:lvl w:ilvl="4">
      <w:start w:val="1"/>
      <w:numFmt w:val="decimal"/>
      <w:pStyle w:val="Heading5"/>
      <w:lvlText w:val="%1.%2.%3.%4.%5"/>
      <w:lvlJc w:val="left"/>
      <w:pPr>
        <w:ind w:left="1008" w:hanging="1008"/>
      </w:pPr>
      <w:rPr>
        <w:rFonts w:hint="default"/>
        <w:u w:val="single"/>
      </w:rPr>
    </w:lvl>
    <w:lvl w:ilvl="5">
      <w:start w:val="1"/>
      <w:numFmt w:val="decimal"/>
      <w:pStyle w:val="Heading6"/>
      <w:lvlText w:val="%1.%2.%3.%4.%5.%6"/>
      <w:lvlJc w:val="left"/>
      <w:pPr>
        <w:ind w:left="1152" w:hanging="1152"/>
      </w:pPr>
      <w:rPr>
        <w:rFonts w:hint="default"/>
        <w:u w:val="single"/>
      </w:rPr>
    </w:lvl>
    <w:lvl w:ilvl="6">
      <w:start w:val="1"/>
      <w:numFmt w:val="decimal"/>
      <w:pStyle w:val="Heading7"/>
      <w:lvlText w:val="%1.%2.%3.%4.%5.%6.%7"/>
      <w:lvlJc w:val="left"/>
      <w:pPr>
        <w:ind w:left="1296" w:hanging="1296"/>
      </w:pPr>
      <w:rPr>
        <w:rFonts w:hint="default"/>
        <w:u w:val="single"/>
      </w:rPr>
    </w:lvl>
    <w:lvl w:ilvl="7">
      <w:start w:val="1"/>
      <w:numFmt w:val="decimal"/>
      <w:pStyle w:val="Heading8"/>
      <w:lvlText w:val="%1.%2.%3.%4.%5.%6.%7.%8"/>
      <w:lvlJc w:val="left"/>
      <w:pPr>
        <w:ind w:left="1440" w:hanging="1440"/>
      </w:pPr>
      <w:rPr>
        <w:rFonts w:hint="default"/>
        <w:u w:val="single"/>
      </w:rPr>
    </w:lvl>
    <w:lvl w:ilvl="8">
      <w:start w:val="1"/>
      <w:numFmt w:val="decimal"/>
      <w:pStyle w:val="Heading9"/>
      <w:lvlText w:val="%1.%2.%3.%4.%5.%6.%7.%8.%9"/>
      <w:lvlJc w:val="left"/>
      <w:pPr>
        <w:ind w:left="1584" w:hanging="1584"/>
      </w:pPr>
      <w:rPr>
        <w:rFonts w:hint="default"/>
        <w:u w:val="single"/>
      </w:rPr>
    </w:lvl>
  </w:abstractNum>
  <w:abstractNum w:abstractNumId="20" w15:restartNumberingAfterBreak="0">
    <w:nsid w:val="690D72A7"/>
    <w:multiLevelType w:val="multilevel"/>
    <w:tmpl w:val="5FAE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4E7FD2"/>
    <w:multiLevelType w:val="multilevel"/>
    <w:tmpl w:val="BA2E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8B7638"/>
    <w:multiLevelType w:val="multilevel"/>
    <w:tmpl w:val="062E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FE302A"/>
    <w:multiLevelType w:val="multilevel"/>
    <w:tmpl w:val="FEDC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83344C"/>
    <w:multiLevelType w:val="multilevel"/>
    <w:tmpl w:val="2DAA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F37E3B"/>
    <w:multiLevelType w:val="hybridMultilevel"/>
    <w:tmpl w:val="F0D268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34773774">
    <w:abstractNumId w:val="20"/>
  </w:num>
  <w:num w:numId="2" w16cid:durableId="1363288918">
    <w:abstractNumId w:val="9"/>
  </w:num>
  <w:num w:numId="3" w16cid:durableId="1741322939">
    <w:abstractNumId w:val="8"/>
  </w:num>
  <w:num w:numId="4" w16cid:durableId="1816949311">
    <w:abstractNumId w:val="2"/>
  </w:num>
  <w:num w:numId="5" w16cid:durableId="215818112">
    <w:abstractNumId w:val="19"/>
  </w:num>
  <w:num w:numId="6" w16cid:durableId="609240152">
    <w:abstractNumId w:val="16"/>
  </w:num>
  <w:num w:numId="7" w16cid:durableId="882014230">
    <w:abstractNumId w:val="22"/>
  </w:num>
  <w:num w:numId="8" w16cid:durableId="997879484">
    <w:abstractNumId w:val="25"/>
  </w:num>
  <w:num w:numId="9" w16cid:durableId="1021275515">
    <w:abstractNumId w:val="10"/>
  </w:num>
  <w:num w:numId="10" w16cid:durableId="215286531">
    <w:abstractNumId w:val="12"/>
  </w:num>
  <w:num w:numId="11" w16cid:durableId="277638259">
    <w:abstractNumId w:val="14"/>
  </w:num>
  <w:num w:numId="12" w16cid:durableId="1481382193">
    <w:abstractNumId w:val="18"/>
  </w:num>
  <w:num w:numId="13" w16cid:durableId="1057775021">
    <w:abstractNumId w:val="4"/>
  </w:num>
  <w:num w:numId="14" w16cid:durableId="1298411150">
    <w:abstractNumId w:val="11"/>
  </w:num>
  <w:num w:numId="15" w16cid:durableId="1716537746">
    <w:abstractNumId w:val="6"/>
  </w:num>
  <w:num w:numId="16" w16cid:durableId="1675575241">
    <w:abstractNumId w:val="7"/>
  </w:num>
  <w:num w:numId="17" w16cid:durableId="1143237221">
    <w:abstractNumId w:val="0"/>
  </w:num>
  <w:num w:numId="18" w16cid:durableId="448545806">
    <w:abstractNumId w:val="5"/>
  </w:num>
  <w:num w:numId="19" w16cid:durableId="1233808831">
    <w:abstractNumId w:val="19"/>
  </w:num>
  <w:num w:numId="20" w16cid:durableId="2113544595">
    <w:abstractNumId w:val="13"/>
  </w:num>
  <w:num w:numId="21" w16cid:durableId="1256863970">
    <w:abstractNumId w:val="15"/>
  </w:num>
  <w:num w:numId="22" w16cid:durableId="1868640989">
    <w:abstractNumId w:val="1"/>
  </w:num>
  <w:num w:numId="23" w16cid:durableId="1769616602">
    <w:abstractNumId w:val="3"/>
  </w:num>
  <w:num w:numId="24" w16cid:durableId="494758899">
    <w:abstractNumId w:val="23"/>
  </w:num>
  <w:num w:numId="25" w16cid:durableId="2071465270">
    <w:abstractNumId w:val="21"/>
  </w:num>
  <w:num w:numId="26" w16cid:durableId="445999999">
    <w:abstractNumId w:val="24"/>
  </w:num>
  <w:num w:numId="27" w16cid:durableId="601882990">
    <w:abstractNumId w:val="17"/>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 Gratacos">
    <w15:presenceInfo w15:providerId="Windows Live" w15:userId="28dd47b6699b926c"/>
  </w15:person>
  <w15:person w15:author="Gaurav Pandey">
    <w15:presenceInfo w15:providerId="AD" w15:userId="S::gpandey@isda.org::85dfab29-0b3d-482a-913f-2628e417ef7b"/>
  </w15:person>
  <w15:person w15:author="Michelangelo de Marzio">
    <w15:presenceInfo w15:providerId="AD" w15:userId="S::mdemarzio@isda.org::ad137340-04ac-453f-b651-3e3cdc874b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679"/>
    <w:rsid w:val="00006E76"/>
    <w:rsid w:val="00017984"/>
    <w:rsid w:val="0002250D"/>
    <w:rsid w:val="00026704"/>
    <w:rsid w:val="00027BF9"/>
    <w:rsid w:val="000308B5"/>
    <w:rsid w:val="000317BF"/>
    <w:rsid w:val="00034389"/>
    <w:rsid w:val="00041630"/>
    <w:rsid w:val="00041983"/>
    <w:rsid w:val="000426F3"/>
    <w:rsid w:val="000500AF"/>
    <w:rsid w:val="00050F30"/>
    <w:rsid w:val="00055AB0"/>
    <w:rsid w:val="000570B9"/>
    <w:rsid w:val="000644C2"/>
    <w:rsid w:val="00067D71"/>
    <w:rsid w:val="0007448A"/>
    <w:rsid w:val="00075BD2"/>
    <w:rsid w:val="00082A92"/>
    <w:rsid w:val="00082E2B"/>
    <w:rsid w:val="000879C8"/>
    <w:rsid w:val="000943C7"/>
    <w:rsid w:val="000A13DC"/>
    <w:rsid w:val="000A230A"/>
    <w:rsid w:val="000A3AA5"/>
    <w:rsid w:val="000A45CE"/>
    <w:rsid w:val="000A48CD"/>
    <w:rsid w:val="000A7958"/>
    <w:rsid w:val="000B0198"/>
    <w:rsid w:val="000B5BD8"/>
    <w:rsid w:val="000B5EF0"/>
    <w:rsid w:val="000C1724"/>
    <w:rsid w:val="000C40D0"/>
    <w:rsid w:val="000C4AF8"/>
    <w:rsid w:val="000D25DB"/>
    <w:rsid w:val="000D66F3"/>
    <w:rsid w:val="000E03D3"/>
    <w:rsid w:val="000E4F08"/>
    <w:rsid w:val="000F44D9"/>
    <w:rsid w:val="000F7C5A"/>
    <w:rsid w:val="00105D15"/>
    <w:rsid w:val="0011343C"/>
    <w:rsid w:val="00117770"/>
    <w:rsid w:val="0012298F"/>
    <w:rsid w:val="00122D37"/>
    <w:rsid w:val="00122D3A"/>
    <w:rsid w:val="00125BE1"/>
    <w:rsid w:val="00130E33"/>
    <w:rsid w:val="001364BA"/>
    <w:rsid w:val="001373E5"/>
    <w:rsid w:val="001446DB"/>
    <w:rsid w:val="001449A9"/>
    <w:rsid w:val="0014555D"/>
    <w:rsid w:val="00145C7E"/>
    <w:rsid w:val="00150B96"/>
    <w:rsid w:val="00154152"/>
    <w:rsid w:val="001559F2"/>
    <w:rsid w:val="001630D8"/>
    <w:rsid w:val="001633BF"/>
    <w:rsid w:val="00165E0E"/>
    <w:rsid w:val="00167BA2"/>
    <w:rsid w:val="00170488"/>
    <w:rsid w:val="00171387"/>
    <w:rsid w:val="00172616"/>
    <w:rsid w:val="00173898"/>
    <w:rsid w:val="00176DB5"/>
    <w:rsid w:val="0017755F"/>
    <w:rsid w:val="00185A42"/>
    <w:rsid w:val="001861F4"/>
    <w:rsid w:val="00190F0F"/>
    <w:rsid w:val="00193FFE"/>
    <w:rsid w:val="0019636F"/>
    <w:rsid w:val="00196DC3"/>
    <w:rsid w:val="001A05BF"/>
    <w:rsid w:val="001A3EAF"/>
    <w:rsid w:val="001A480E"/>
    <w:rsid w:val="001A4B96"/>
    <w:rsid w:val="001A5B05"/>
    <w:rsid w:val="001A6FAD"/>
    <w:rsid w:val="001B1C38"/>
    <w:rsid w:val="001B2972"/>
    <w:rsid w:val="001B609A"/>
    <w:rsid w:val="001C2760"/>
    <w:rsid w:val="001C419E"/>
    <w:rsid w:val="001D0F28"/>
    <w:rsid w:val="001D4249"/>
    <w:rsid w:val="001D56B8"/>
    <w:rsid w:val="001E24D3"/>
    <w:rsid w:val="001E2999"/>
    <w:rsid w:val="001E6BE2"/>
    <w:rsid w:val="001F0D4A"/>
    <w:rsid w:val="001F2697"/>
    <w:rsid w:val="001F3074"/>
    <w:rsid w:val="001F40AC"/>
    <w:rsid w:val="001F5B54"/>
    <w:rsid w:val="001F6B62"/>
    <w:rsid w:val="001F720F"/>
    <w:rsid w:val="00201168"/>
    <w:rsid w:val="00203302"/>
    <w:rsid w:val="00203BB2"/>
    <w:rsid w:val="00204D73"/>
    <w:rsid w:val="00205CCB"/>
    <w:rsid w:val="00210C29"/>
    <w:rsid w:val="00212793"/>
    <w:rsid w:val="002128A8"/>
    <w:rsid w:val="00213603"/>
    <w:rsid w:val="00213B89"/>
    <w:rsid w:val="0021692E"/>
    <w:rsid w:val="002235C0"/>
    <w:rsid w:val="0022770E"/>
    <w:rsid w:val="002318C2"/>
    <w:rsid w:val="00233365"/>
    <w:rsid w:val="00233861"/>
    <w:rsid w:val="00233E4D"/>
    <w:rsid w:val="002373FF"/>
    <w:rsid w:val="00237A70"/>
    <w:rsid w:val="002445ED"/>
    <w:rsid w:val="00244C6C"/>
    <w:rsid w:val="0024664A"/>
    <w:rsid w:val="00250E23"/>
    <w:rsid w:val="00255777"/>
    <w:rsid w:val="00261706"/>
    <w:rsid w:val="00262F05"/>
    <w:rsid w:val="00263259"/>
    <w:rsid w:val="00274D06"/>
    <w:rsid w:val="00275056"/>
    <w:rsid w:val="00275282"/>
    <w:rsid w:val="002774BC"/>
    <w:rsid w:val="00280B9A"/>
    <w:rsid w:val="00281C30"/>
    <w:rsid w:val="002822B2"/>
    <w:rsid w:val="00282F94"/>
    <w:rsid w:val="00284C06"/>
    <w:rsid w:val="00285237"/>
    <w:rsid w:val="00290412"/>
    <w:rsid w:val="002907E8"/>
    <w:rsid w:val="00291CDE"/>
    <w:rsid w:val="002927C6"/>
    <w:rsid w:val="00293936"/>
    <w:rsid w:val="002A0417"/>
    <w:rsid w:val="002A197F"/>
    <w:rsid w:val="002A24F1"/>
    <w:rsid w:val="002A2D96"/>
    <w:rsid w:val="002A2FE1"/>
    <w:rsid w:val="002A5803"/>
    <w:rsid w:val="002A5ED8"/>
    <w:rsid w:val="002A64BF"/>
    <w:rsid w:val="002A6DDC"/>
    <w:rsid w:val="002B05BD"/>
    <w:rsid w:val="002B1EF2"/>
    <w:rsid w:val="002B3AC2"/>
    <w:rsid w:val="002B3B2F"/>
    <w:rsid w:val="002C0B02"/>
    <w:rsid w:val="002C4D46"/>
    <w:rsid w:val="002C508F"/>
    <w:rsid w:val="002D001E"/>
    <w:rsid w:val="002D6246"/>
    <w:rsid w:val="002D7069"/>
    <w:rsid w:val="002E1843"/>
    <w:rsid w:val="002E1E26"/>
    <w:rsid w:val="002E5962"/>
    <w:rsid w:val="002E78D1"/>
    <w:rsid w:val="002F07B4"/>
    <w:rsid w:val="002F0DD2"/>
    <w:rsid w:val="002F2EFE"/>
    <w:rsid w:val="002F3801"/>
    <w:rsid w:val="002F57C7"/>
    <w:rsid w:val="002F6AB7"/>
    <w:rsid w:val="002F74E0"/>
    <w:rsid w:val="00302BD3"/>
    <w:rsid w:val="00303307"/>
    <w:rsid w:val="0030684A"/>
    <w:rsid w:val="003073F4"/>
    <w:rsid w:val="00311100"/>
    <w:rsid w:val="00311805"/>
    <w:rsid w:val="003118F3"/>
    <w:rsid w:val="00313DF9"/>
    <w:rsid w:val="00314F61"/>
    <w:rsid w:val="00316B42"/>
    <w:rsid w:val="0032045A"/>
    <w:rsid w:val="003229CE"/>
    <w:rsid w:val="003245C6"/>
    <w:rsid w:val="00325EF2"/>
    <w:rsid w:val="00331012"/>
    <w:rsid w:val="00333914"/>
    <w:rsid w:val="00334E5E"/>
    <w:rsid w:val="00335E4F"/>
    <w:rsid w:val="00337E73"/>
    <w:rsid w:val="003408CA"/>
    <w:rsid w:val="003424D7"/>
    <w:rsid w:val="00343CCE"/>
    <w:rsid w:val="0035344C"/>
    <w:rsid w:val="00353805"/>
    <w:rsid w:val="00354A88"/>
    <w:rsid w:val="003553FB"/>
    <w:rsid w:val="0035668A"/>
    <w:rsid w:val="00356D5C"/>
    <w:rsid w:val="003613B8"/>
    <w:rsid w:val="00363054"/>
    <w:rsid w:val="00365C63"/>
    <w:rsid w:val="00370F57"/>
    <w:rsid w:val="003716B7"/>
    <w:rsid w:val="0037533B"/>
    <w:rsid w:val="003774A4"/>
    <w:rsid w:val="003829BF"/>
    <w:rsid w:val="00383F2A"/>
    <w:rsid w:val="00384A0E"/>
    <w:rsid w:val="003866E1"/>
    <w:rsid w:val="0038670B"/>
    <w:rsid w:val="00394368"/>
    <w:rsid w:val="00397390"/>
    <w:rsid w:val="0039799B"/>
    <w:rsid w:val="003A1322"/>
    <w:rsid w:val="003A3514"/>
    <w:rsid w:val="003A3ACF"/>
    <w:rsid w:val="003B0B6D"/>
    <w:rsid w:val="003B159C"/>
    <w:rsid w:val="003B50D3"/>
    <w:rsid w:val="003B6CE0"/>
    <w:rsid w:val="003C12E0"/>
    <w:rsid w:val="003C1555"/>
    <w:rsid w:val="003D1EBA"/>
    <w:rsid w:val="003D53CF"/>
    <w:rsid w:val="003E5510"/>
    <w:rsid w:val="003F2E74"/>
    <w:rsid w:val="003F3516"/>
    <w:rsid w:val="003F4301"/>
    <w:rsid w:val="003F505E"/>
    <w:rsid w:val="00402560"/>
    <w:rsid w:val="00403487"/>
    <w:rsid w:val="00405964"/>
    <w:rsid w:val="00416531"/>
    <w:rsid w:val="004166F5"/>
    <w:rsid w:val="004211E3"/>
    <w:rsid w:val="00425190"/>
    <w:rsid w:val="00426B94"/>
    <w:rsid w:val="00430C52"/>
    <w:rsid w:val="00433895"/>
    <w:rsid w:val="00434EDA"/>
    <w:rsid w:val="00436B96"/>
    <w:rsid w:val="00437B5F"/>
    <w:rsid w:val="00441E7C"/>
    <w:rsid w:val="00444BD8"/>
    <w:rsid w:val="004475B4"/>
    <w:rsid w:val="00456F77"/>
    <w:rsid w:val="0045795F"/>
    <w:rsid w:val="0046093F"/>
    <w:rsid w:val="00466368"/>
    <w:rsid w:val="00475565"/>
    <w:rsid w:val="00475EB8"/>
    <w:rsid w:val="00481648"/>
    <w:rsid w:val="00482328"/>
    <w:rsid w:val="004854E5"/>
    <w:rsid w:val="00486E61"/>
    <w:rsid w:val="004875C1"/>
    <w:rsid w:val="0049024C"/>
    <w:rsid w:val="00492A5E"/>
    <w:rsid w:val="00492E34"/>
    <w:rsid w:val="00492E62"/>
    <w:rsid w:val="0049395A"/>
    <w:rsid w:val="00495FBB"/>
    <w:rsid w:val="004A394B"/>
    <w:rsid w:val="004A3C88"/>
    <w:rsid w:val="004A46FF"/>
    <w:rsid w:val="004A69DC"/>
    <w:rsid w:val="004A6A52"/>
    <w:rsid w:val="004C3ED4"/>
    <w:rsid w:val="004C5F17"/>
    <w:rsid w:val="004C5FB7"/>
    <w:rsid w:val="004C6209"/>
    <w:rsid w:val="004C7A68"/>
    <w:rsid w:val="004D1D31"/>
    <w:rsid w:val="004D2108"/>
    <w:rsid w:val="004D42C0"/>
    <w:rsid w:val="004D5D30"/>
    <w:rsid w:val="004D657A"/>
    <w:rsid w:val="004D6CF5"/>
    <w:rsid w:val="004E25C0"/>
    <w:rsid w:val="004E3A6E"/>
    <w:rsid w:val="004E64AC"/>
    <w:rsid w:val="004F0A76"/>
    <w:rsid w:val="004F0E98"/>
    <w:rsid w:val="004F2E01"/>
    <w:rsid w:val="004F37E0"/>
    <w:rsid w:val="004F3F8D"/>
    <w:rsid w:val="004F464C"/>
    <w:rsid w:val="004F5638"/>
    <w:rsid w:val="004F7187"/>
    <w:rsid w:val="005070EB"/>
    <w:rsid w:val="00507F6C"/>
    <w:rsid w:val="00511A7F"/>
    <w:rsid w:val="005129EF"/>
    <w:rsid w:val="00513C61"/>
    <w:rsid w:val="00517C85"/>
    <w:rsid w:val="00521E8E"/>
    <w:rsid w:val="005232A6"/>
    <w:rsid w:val="00523860"/>
    <w:rsid w:val="005251AA"/>
    <w:rsid w:val="00527D43"/>
    <w:rsid w:val="005363B9"/>
    <w:rsid w:val="0053654C"/>
    <w:rsid w:val="00541ED4"/>
    <w:rsid w:val="00542DD9"/>
    <w:rsid w:val="00550F41"/>
    <w:rsid w:val="0055115D"/>
    <w:rsid w:val="0055188E"/>
    <w:rsid w:val="00553E9B"/>
    <w:rsid w:val="00557820"/>
    <w:rsid w:val="0056117A"/>
    <w:rsid w:val="00561798"/>
    <w:rsid w:val="005642A2"/>
    <w:rsid w:val="00564F13"/>
    <w:rsid w:val="00567FAD"/>
    <w:rsid w:val="00571570"/>
    <w:rsid w:val="00574679"/>
    <w:rsid w:val="00575E36"/>
    <w:rsid w:val="00576E2F"/>
    <w:rsid w:val="0058315E"/>
    <w:rsid w:val="0058602C"/>
    <w:rsid w:val="00593FFC"/>
    <w:rsid w:val="00594A7B"/>
    <w:rsid w:val="00595D5D"/>
    <w:rsid w:val="005A62FA"/>
    <w:rsid w:val="005A6E0B"/>
    <w:rsid w:val="005B0C7A"/>
    <w:rsid w:val="005B70CB"/>
    <w:rsid w:val="005B75CB"/>
    <w:rsid w:val="005C066C"/>
    <w:rsid w:val="005C2279"/>
    <w:rsid w:val="005C247B"/>
    <w:rsid w:val="005C3ED1"/>
    <w:rsid w:val="005C5089"/>
    <w:rsid w:val="005D5D2E"/>
    <w:rsid w:val="005D60D0"/>
    <w:rsid w:val="005D6634"/>
    <w:rsid w:val="005D7368"/>
    <w:rsid w:val="005E2A45"/>
    <w:rsid w:val="005E3C10"/>
    <w:rsid w:val="005E454C"/>
    <w:rsid w:val="005F0249"/>
    <w:rsid w:val="005F1567"/>
    <w:rsid w:val="005F3590"/>
    <w:rsid w:val="005F6141"/>
    <w:rsid w:val="005F6AD9"/>
    <w:rsid w:val="005F790B"/>
    <w:rsid w:val="006009EC"/>
    <w:rsid w:val="00605B99"/>
    <w:rsid w:val="0060636B"/>
    <w:rsid w:val="0061132A"/>
    <w:rsid w:val="0061261F"/>
    <w:rsid w:val="00612EAB"/>
    <w:rsid w:val="00614125"/>
    <w:rsid w:val="00614F12"/>
    <w:rsid w:val="0061697B"/>
    <w:rsid w:val="00617270"/>
    <w:rsid w:val="0061766C"/>
    <w:rsid w:val="00620498"/>
    <w:rsid w:val="00620618"/>
    <w:rsid w:val="006238A1"/>
    <w:rsid w:val="00625022"/>
    <w:rsid w:val="006279F2"/>
    <w:rsid w:val="006316F4"/>
    <w:rsid w:val="00632D02"/>
    <w:rsid w:val="00632E68"/>
    <w:rsid w:val="006340D0"/>
    <w:rsid w:val="006352C8"/>
    <w:rsid w:val="00635FB4"/>
    <w:rsid w:val="00636B3D"/>
    <w:rsid w:val="00636EA9"/>
    <w:rsid w:val="00644295"/>
    <w:rsid w:val="0064717B"/>
    <w:rsid w:val="00647706"/>
    <w:rsid w:val="006507E0"/>
    <w:rsid w:val="006513E0"/>
    <w:rsid w:val="00653708"/>
    <w:rsid w:val="00653AC7"/>
    <w:rsid w:val="006547F3"/>
    <w:rsid w:val="00655460"/>
    <w:rsid w:val="006564DB"/>
    <w:rsid w:val="0066348B"/>
    <w:rsid w:val="00671E00"/>
    <w:rsid w:val="00673727"/>
    <w:rsid w:val="0067461D"/>
    <w:rsid w:val="00675E14"/>
    <w:rsid w:val="00676C1B"/>
    <w:rsid w:val="00676F29"/>
    <w:rsid w:val="00677404"/>
    <w:rsid w:val="00680404"/>
    <w:rsid w:val="00683C7E"/>
    <w:rsid w:val="0068410A"/>
    <w:rsid w:val="0068418D"/>
    <w:rsid w:val="00693145"/>
    <w:rsid w:val="00693859"/>
    <w:rsid w:val="00695C2D"/>
    <w:rsid w:val="006963B1"/>
    <w:rsid w:val="00696BD2"/>
    <w:rsid w:val="006A3B95"/>
    <w:rsid w:val="006A508E"/>
    <w:rsid w:val="006C0668"/>
    <w:rsid w:val="006C25D9"/>
    <w:rsid w:val="006C4ED2"/>
    <w:rsid w:val="006C66CE"/>
    <w:rsid w:val="006C75BB"/>
    <w:rsid w:val="006E0961"/>
    <w:rsid w:val="006E1F10"/>
    <w:rsid w:val="006E36E7"/>
    <w:rsid w:val="006E3A1C"/>
    <w:rsid w:val="006E42B1"/>
    <w:rsid w:val="006E6EEA"/>
    <w:rsid w:val="006F63AB"/>
    <w:rsid w:val="00700F0C"/>
    <w:rsid w:val="007035EF"/>
    <w:rsid w:val="007106B2"/>
    <w:rsid w:val="0071091B"/>
    <w:rsid w:val="007111FF"/>
    <w:rsid w:val="0071731A"/>
    <w:rsid w:val="007211F6"/>
    <w:rsid w:val="007249D0"/>
    <w:rsid w:val="007264C7"/>
    <w:rsid w:val="00726737"/>
    <w:rsid w:val="007304FE"/>
    <w:rsid w:val="00731ECE"/>
    <w:rsid w:val="007337CC"/>
    <w:rsid w:val="00742EB6"/>
    <w:rsid w:val="00745CFC"/>
    <w:rsid w:val="00747F8D"/>
    <w:rsid w:val="007502C6"/>
    <w:rsid w:val="00754B0C"/>
    <w:rsid w:val="00763E84"/>
    <w:rsid w:val="007641F7"/>
    <w:rsid w:val="00764E8B"/>
    <w:rsid w:val="00776054"/>
    <w:rsid w:val="0077739B"/>
    <w:rsid w:val="00777529"/>
    <w:rsid w:val="00780C4C"/>
    <w:rsid w:val="00782063"/>
    <w:rsid w:val="00785C9B"/>
    <w:rsid w:val="00786548"/>
    <w:rsid w:val="007875FC"/>
    <w:rsid w:val="00791EF8"/>
    <w:rsid w:val="007A6E5F"/>
    <w:rsid w:val="007B1425"/>
    <w:rsid w:val="007B6336"/>
    <w:rsid w:val="007B66AA"/>
    <w:rsid w:val="007B6EA8"/>
    <w:rsid w:val="007C445E"/>
    <w:rsid w:val="007C5B52"/>
    <w:rsid w:val="007C62B5"/>
    <w:rsid w:val="007D57FC"/>
    <w:rsid w:val="007E0D79"/>
    <w:rsid w:val="007E1E8B"/>
    <w:rsid w:val="007E32C9"/>
    <w:rsid w:val="007E3BEA"/>
    <w:rsid w:val="007E742C"/>
    <w:rsid w:val="007F1E65"/>
    <w:rsid w:val="007F22CC"/>
    <w:rsid w:val="007F5BC4"/>
    <w:rsid w:val="007F7E60"/>
    <w:rsid w:val="008023E9"/>
    <w:rsid w:val="00802D70"/>
    <w:rsid w:val="008044E2"/>
    <w:rsid w:val="00810E31"/>
    <w:rsid w:val="00820246"/>
    <w:rsid w:val="00820ADD"/>
    <w:rsid w:val="00827C85"/>
    <w:rsid w:val="008328E2"/>
    <w:rsid w:val="0083581C"/>
    <w:rsid w:val="00840FFD"/>
    <w:rsid w:val="00845B70"/>
    <w:rsid w:val="00847E0A"/>
    <w:rsid w:val="00850118"/>
    <w:rsid w:val="008502C6"/>
    <w:rsid w:val="00853A76"/>
    <w:rsid w:val="00855B24"/>
    <w:rsid w:val="0086529B"/>
    <w:rsid w:val="0086558B"/>
    <w:rsid w:val="00865F31"/>
    <w:rsid w:val="00866690"/>
    <w:rsid w:val="008714B8"/>
    <w:rsid w:val="00873D8B"/>
    <w:rsid w:val="0087484B"/>
    <w:rsid w:val="00877321"/>
    <w:rsid w:val="0088540B"/>
    <w:rsid w:val="0088626B"/>
    <w:rsid w:val="0089127E"/>
    <w:rsid w:val="008918C7"/>
    <w:rsid w:val="00891C39"/>
    <w:rsid w:val="00893A40"/>
    <w:rsid w:val="0089413A"/>
    <w:rsid w:val="00894B32"/>
    <w:rsid w:val="00894D5E"/>
    <w:rsid w:val="00897B78"/>
    <w:rsid w:val="00897EEF"/>
    <w:rsid w:val="008A20BE"/>
    <w:rsid w:val="008A262A"/>
    <w:rsid w:val="008A6F0C"/>
    <w:rsid w:val="008B21EC"/>
    <w:rsid w:val="008C21DA"/>
    <w:rsid w:val="008C2C52"/>
    <w:rsid w:val="008C3638"/>
    <w:rsid w:val="008C4BF0"/>
    <w:rsid w:val="008D3E81"/>
    <w:rsid w:val="008D55A2"/>
    <w:rsid w:val="008D5F40"/>
    <w:rsid w:val="008E00AB"/>
    <w:rsid w:val="008E1443"/>
    <w:rsid w:val="008E1DCA"/>
    <w:rsid w:val="008E51CC"/>
    <w:rsid w:val="008E633F"/>
    <w:rsid w:val="008E78A2"/>
    <w:rsid w:val="008E7CA0"/>
    <w:rsid w:val="008F1DFA"/>
    <w:rsid w:val="008F2B10"/>
    <w:rsid w:val="008F2F6A"/>
    <w:rsid w:val="008F6EF2"/>
    <w:rsid w:val="008F7BC2"/>
    <w:rsid w:val="00902994"/>
    <w:rsid w:val="00903D00"/>
    <w:rsid w:val="00906159"/>
    <w:rsid w:val="00906BB9"/>
    <w:rsid w:val="00914247"/>
    <w:rsid w:val="00915BEA"/>
    <w:rsid w:val="00915C8D"/>
    <w:rsid w:val="00916C98"/>
    <w:rsid w:val="00922739"/>
    <w:rsid w:val="009234AA"/>
    <w:rsid w:val="00925F00"/>
    <w:rsid w:val="0092651B"/>
    <w:rsid w:val="00933468"/>
    <w:rsid w:val="00934FA7"/>
    <w:rsid w:val="009355D7"/>
    <w:rsid w:val="00941AF2"/>
    <w:rsid w:val="0094309A"/>
    <w:rsid w:val="0094364F"/>
    <w:rsid w:val="0094587C"/>
    <w:rsid w:val="00945E28"/>
    <w:rsid w:val="00946336"/>
    <w:rsid w:val="00947313"/>
    <w:rsid w:val="00947C4B"/>
    <w:rsid w:val="009506B2"/>
    <w:rsid w:val="0095131F"/>
    <w:rsid w:val="00953944"/>
    <w:rsid w:val="00953F96"/>
    <w:rsid w:val="00957C69"/>
    <w:rsid w:val="00960470"/>
    <w:rsid w:val="009605C5"/>
    <w:rsid w:val="00961028"/>
    <w:rsid w:val="00961E03"/>
    <w:rsid w:val="00963C29"/>
    <w:rsid w:val="00967C10"/>
    <w:rsid w:val="009706D8"/>
    <w:rsid w:val="00972167"/>
    <w:rsid w:val="0097430C"/>
    <w:rsid w:val="00981703"/>
    <w:rsid w:val="0098370A"/>
    <w:rsid w:val="009860C8"/>
    <w:rsid w:val="009862E2"/>
    <w:rsid w:val="009911B4"/>
    <w:rsid w:val="00991BBB"/>
    <w:rsid w:val="0099464E"/>
    <w:rsid w:val="00995A16"/>
    <w:rsid w:val="00997408"/>
    <w:rsid w:val="009A1609"/>
    <w:rsid w:val="009A264B"/>
    <w:rsid w:val="009A3D78"/>
    <w:rsid w:val="009A443D"/>
    <w:rsid w:val="009A5D65"/>
    <w:rsid w:val="009B574C"/>
    <w:rsid w:val="009B6C7D"/>
    <w:rsid w:val="009B78C8"/>
    <w:rsid w:val="009C50D9"/>
    <w:rsid w:val="009C51FD"/>
    <w:rsid w:val="009D17C7"/>
    <w:rsid w:val="009D6305"/>
    <w:rsid w:val="009D7992"/>
    <w:rsid w:val="009E2A41"/>
    <w:rsid w:val="009E2CAA"/>
    <w:rsid w:val="009E477F"/>
    <w:rsid w:val="009F064B"/>
    <w:rsid w:val="009F082F"/>
    <w:rsid w:val="009F3F75"/>
    <w:rsid w:val="009F5449"/>
    <w:rsid w:val="00A020DC"/>
    <w:rsid w:val="00A0450D"/>
    <w:rsid w:val="00A07600"/>
    <w:rsid w:val="00A17754"/>
    <w:rsid w:val="00A2059C"/>
    <w:rsid w:val="00A23636"/>
    <w:rsid w:val="00A24556"/>
    <w:rsid w:val="00A30E06"/>
    <w:rsid w:val="00A34C07"/>
    <w:rsid w:val="00A370DE"/>
    <w:rsid w:val="00A420F0"/>
    <w:rsid w:val="00A42CD4"/>
    <w:rsid w:val="00A42E2F"/>
    <w:rsid w:val="00A461FA"/>
    <w:rsid w:val="00A46846"/>
    <w:rsid w:val="00A52294"/>
    <w:rsid w:val="00A537B0"/>
    <w:rsid w:val="00A54528"/>
    <w:rsid w:val="00A61344"/>
    <w:rsid w:val="00A61590"/>
    <w:rsid w:val="00A61BC9"/>
    <w:rsid w:val="00A63161"/>
    <w:rsid w:val="00A6511A"/>
    <w:rsid w:val="00A65436"/>
    <w:rsid w:val="00A71033"/>
    <w:rsid w:val="00A74F76"/>
    <w:rsid w:val="00A8038A"/>
    <w:rsid w:val="00A81593"/>
    <w:rsid w:val="00A81B3D"/>
    <w:rsid w:val="00A83BE4"/>
    <w:rsid w:val="00A8706E"/>
    <w:rsid w:val="00A928B7"/>
    <w:rsid w:val="00A93894"/>
    <w:rsid w:val="00A959F6"/>
    <w:rsid w:val="00A97BBD"/>
    <w:rsid w:val="00AA6A25"/>
    <w:rsid w:val="00AB0D35"/>
    <w:rsid w:val="00AB1EE0"/>
    <w:rsid w:val="00AB243A"/>
    <w:rsid w:val="00AB4A09"/>
    <w:rsid w:val="00AB62C0"/>
    <w:rsid w:val="00AB6810"/>
    <w:rsid w:val="00AC4F1E"/>
    <w:rsid w:val="00AC607D"/>
    <w:rsid w:val="00AC655C"/>
    <w:rsid w:val="00AC663D"/>
    <w:rsid w:val="00AD02C8"/>
    <w:rsid w:val="00AD08AD"/>
    <w:rsid w:val="00AE264D"/>
    <w:rsid w:val="00AE65C4"/>
    <w:rsid w:val="00AF229D"/>
    <w:rsid w:val="00AF3D2F"/>
    <w:rsid w:val="00AF607D"/>
    <w:rsid w:val="00B00903"/>
    <w:rsid w:val="00B02D3E"/>
    <w:rsid w:val="00B04571"/>
    <w:rsid w:val="00B11D40"/>
    <w:rsid w:val="00B16287"/>
    <w:rsid w:val="00B1672E"/>
    <w:rsid w:val="00B167A9"/>
    <w:rsid w:val="00B168A3"/>
    <w:rsid w:val="00B17798"/>
    <w:rsid w:val="00B200B4"/>
    <w:rsid w:val="00B20C8C"/>
    <w:rsid w:val="00B231A6"/>
    <w:rsid w:val="00B25C1D"/>
    <w:rsid w:val="00B26996"/>
    <w:rsid w:val="00B3012E"/>
    <w:rsid w:val="00B306F2"/>
    <w:rsid w:val="00B3087E"/>
    <w:rsid w:val="00B31539"/>
    <w:rsid w:val="00B33CC7"/>
    <w:rsid w:val="00B35725"/>
    <w:rsid w:val="00B3677C"/>
    <w:rsid w:val="00B41EF0"/>
    <w:rsid w:val="00B463AE"/>
    <w:rsid w:val="00B47BBF"/>
    <w:rsid w:val="00B50916"/>
    <w:rsid w:val="00B53BC1"/>
    <w:rsid w:val="00B57641"/>
    <w:rsid w:val="00B675CD"/>
    <w:rsid w:val="00B76B48"/>
    <w:rsid w:val="00B76F71"/>
    <w:rsid w:val="00B777B9"/>
    <w:rsid w:val="00B8152D"/>
    <w:rsid w:val="00B8157D"/>
    <w:rsid w:val="00B81D80"/>
    <w:rsid w:val="00B81E5A"/>
    <w:rsid w:val="00B8243B"/>
    <w:rsid w:val="00B826DC"/>
    <w:rsid w:val="00B829F2"/>
    <w:rsid w:val="00B85949"/>
    <w:rsid w:val="00B85C3A"/>
    <w:rsid w:val="00B94F48"/>
    <w:rsid w:val="00B975AC"/>
    <w:rsid w:val="00BA0605"/>
    <w:rsid w:val="00BA5BAF"/>
    <w:rsid w:val="00BB3230"/>
    <w:rsid w:val="00BB3ACE"/>
    <w:rsid w:val="00BB3D30"/>
    <w:rsid w:val="00BB7AA3"/>
    <w:rsid w:val="00BC2BFC"/>
    <w:rsid w:val="00BC4FAF"/>
    <w:rsid w:val="00BD1083"/>
    <w:rsid w:val="00BD2965"/>
    <w:rsid w:val="00BD6DBF"/>
    <w:rsid w:val="00BD7176"/>
    <w:rsid w:val="00BE16E3"/>
    <w:rsid w:val="00BE36A9"/>
    <w:rsid w:val="00BE6524"/>
    <w:rsid w:val="00BE72A9"/>
    <w:rsid w:val="00BE7C2C"/>
    <w:rsid w:val="00BF29C6"/>
    <w:rsid w:val="00BF2F4F"/>
    <w:rsid w:val="00BF3D9C"/>
    <w:rsid w:val="00BF5F50"/>
    <w:rsid w:val="00BF76E3"/>
    <w:rsid w:val="00C04764"/>
    <w:rsid w:val="00C10121"/>
    <w:rsid w:val="00C15348"/>
    <w:rsid w:val="00C153B2"/>
    <w:rsid w:val="00C1679B"/>
    <w:rsid w:val="00C20060"/>
    <w:rsid w:val="00C31F59"/>
    <w:rsid w:val="00C32ED9"/>
    <w:rsid w:val="00C3394E"/>
    <w:rsid w:val="00C33FC2"/>
    <w:rsid w:val="00C35D15"/>
    <w:rsid w:val="00C3714F"/>
    <w:rsid w:val="00C41400"/>
    <w:rsid w:val="00C41A3D"/>
    <w:rsid w:val="00C42C9D"/>
    <w:rsid w:val="00C44642"/>
    <w:rsid w:val="00C46172"/>
    <w:rsid w:val="00C462C8"/>
    <w:rsid w:val="00C550BD"/>
    <w:rsid w:val="00C56B27"/>
    <w:rsid w:val="00C56E80"/>
    <w:rsid w:val="00C61CA1"/>
    <w:rsid w:val="00C63C8B"/>
    <w:rsid w:val="00C641BD"/>
    <w:rsid w:val="00C76307"/>
    <w:rsid w:val="00C865F7"/>
    <w:rsid w:val="00C90506"/>
    <w:rsid w:val="00C916B0"/>
    <w:rsid w:val="00C91F49"/>
    <w:rsid w:val="00C94BB1"/>
    <w:rsid w:val="00CA1428"/>
    <w:rsid w:val="00CA1834"/>
    <w:rsid w:val="00CA64B1"/>
    <w:rsid w:val="00CB11F2"/>
    <w:rsid w:val="00CB4E29"/>
    <w:rsid w:val="00CB52F6"/>
    <w:rsid w:val="00CB59DF"/>
    <w:rsid w:val="00CC0E0D"/>
    <w:rsid w:val="00CC1A9F"/>
    <w:rsid w:val="00CC2983"/>
    <w:rsid w:val="00CD1A5D"/>
    <w:rsid w:val="00CD3156"/>
    <w:rsid w:val="00CD598E"/>
    <w:rsid w:val="00CD72BE"/>
    <w:rsid w:val="00CE63F8"/>
    <w:rsid w:val="00CE6CED"/>
    <w:rsid w:val="00CE75D5"/>
    <w:rsid w:val="00CE77BE"/>
    <w:rsid w:val="00CF28CD"/>
    <w:rsid w:val="00CF2BE5"/>
    <w:rsid w:val="00CF3B3D"/>
    <w:rsid w:val="00CF50CC"/>
    <w:rsid w:val="00CF5B83"/>
    <w:rsid w:val="00CF67C7"/>
    <w:rsid w:val="00D00997"/>
    <w:rsid w:val="00D03A7C"/>
    <w:rsid w:val="00D06053"/>
    <w:rsid w:val="00D06C05"/>
    <w:rsid w:val="00D07BA8"/>
    <w:rsid w:val="00D15CB6"/>
    <w:rsid w:val="00D25309"/>
    <w:rsid w:val="00D26A5A"/>
    <w:rsid w:val="00D32C7F"/>
    <w:rsid w:val="00D34DC0"/>
    <w:rsid w:val="00D37C21"/>
    <w:rsid w:val="00D411E3"/>
    <w:rsid w:val="00D47F50"/>
    <w:rsid w:val="00D556DD"/>
    <w:rsid w:val="00D556FA"/>
    <w:rsid w:val="00D574EA"/>
    <w:rsid w:val="00D57B74"/>
    <w:rsid w:val="00D606C6"/>
    <w:rsid w:val="00D62EA5"/>
    <w:rsid w:val="00D658E8"/>
    <w:rsid w:val="00D677C4"/>
    <w:rsid w:val="00D7318F"/>
    <w:rsid w:val="00D76F68"/>
    <w:rsid w:val="00D80BA4"/>
    <w:rsid w:val="00D83699"/>
    <w:rsid w:val="00D859D9"/>
    <w:rsid w:val="00D85F13"/>
    <w:rsid w:val="00D87BD2"/>
    <w:rsid w:val="00D90661"/>
    <w:rsid w:val="00D92162"/>
    <w:rsid w:val="00D95EFB"/>
    <w:rsid w:val="00DA1097"/>
    <w:rsid w:val="00DA230E"/>
    <w:rsid w:val="00DA5ACB"/>
    <w:rsid w:val="00DA5EAC"/>
    <w:rsid w:val="00DA6969"/>
    <w:rsid w:val="00DA7303"/>
    <w:rsid w:val="00DB4E64"/>
    <w:rsid w:val="00DB73EA"/>
    <w:rsid w:val="00DC265D"/>
    <w:rsid w:val="00DC3F22"/>
    <w:rsid w:val="00DC716B"/>
    <w:rsid w:val="00DD4C6D"/>
    <w:rsid w:val="00DD6B64"/>
    <w:rsid w:val="00DD733E"/>
    <w:rsid w:val="00DE19FF"/>
    <w:rsid w:val="00DE3AE7"/>
    <w:rsid w:val="00DE5974"/>
    <w:rsid w:val="00DF3928"/>
    <w:rsid w:val="00DF39E0"/>
    <w:rsid w:val="00DF47ED"/>
    <w:rsid w:val="00DF4848"/>
    <w:rsid w:val="00DF567D"/>
    <w:rsid w:val="00E03C8C"/>
    <w:rsid w:val="00E07E23"/>
    <w:rsid w:val="00E1205E"/>
    <w:rsid w:val="00E22726"/>
    <w:rsid w:val="00E26CBC"/>
    <w:rsid w:val="00E26EA1"/>
    <w:rsid w:val="00E27D2A"/>
    <w:rsid w:val="00E3101E"/>
    <w:rsid w:val="00E378ED"/>
    <w:rsid w:val="00E41973"/>
    <w:rsid w:val="00E42E02"/>
    <w:rsid w:val="00E450FA"/>
    <w:rsid w:val="00E4765E"/>
    <w:rsid w:val="00E511FC"/>
    <w:rsid w:val="00E513A9"/>
    <w:rsid w:val="00E5150B"/>
    <w:rsid w:val="00E54848"/>
    <w:rsid w:val="00E5771C"/>
    <w:rsid w:val="00E67B01"/>
    <w:rsid w:val="00E71A67"/>
    <w:rsid w:val="00E73593"/>
    <w:rsid w:val="00E749E5"/>
    <w:rsid w:val="00E80236"/>
    <w:rsid w:val="00E81B23"/>
    <w:rsid w:val="00E828ED"/>
    <w:rsid w:val="00E82E0A"/>
    <w:rsid w:val="00E87388"/>
    <w:rsid w:val="00E91642"/>
    <w:rsid w:val="00E92C72"/>
    <w:rsid w:val="00E93179"/>
    <w:rsid w:val="00E93F3A"/>
    <w:rsid w:val="00E9644B"/>
    <w:rsid w:val="00E965D9"/>
    <w:rsid w:val="00E97F4F"/>
    <w:rsid w:val="00EA02FB"/>
    <w:rsid w:val="00EA1BE7"/>
    <w:rsid w:val="00EA20BA"/>
    <w:rsid w:val="00EA7C6A"/>
    <w:rsid w:val="00EB4384"/>
    <w:rsid w:val="00EB51A0"/>
    <w:rsid w:val="00EB6DA4"/>
    <w:rsid w:val="00EB7219"/>
    <w:rsid w:val="00EC3094"/>
    <w:rsid w:val="00EC6881"/>
    <w:rsid w:val="00EC7C78"/>
    <w:rsid w:val="00ED1359"/>
    <w:rsid w:val="00ED58E1"/>
    <w:rsid w:val="00EE1E59"/>
    <w:rsid w:val="00EE5131"/>
    <w:rsid w:val="00EE60A0"/>
    <w:rsid w:val="00EE6400"/>
    <w:rsid w:val="00EF3442"/>
    <w:rsid w:val="00F00222"/>
    <w:rsid w:val="00F003AE"/>
    <w:rsid w:val="00F01652"/>
    <w:rsid w:val="00F03A3F"/>
    <w:rsid w:val="00F067CD"/>
    <w:rsid w:val="00F123D8"/>
    <w:rsid w:val="00F17C69"/>
    <w:rsid w:val="00F24679"/>
    <w:rsid w:val="00F2552F"/>
    <w:rsid w:val="00F2560D"/>
    <w:rsid w:val="00F26CDF"/>
    <w:rsid w:val="00F2710B"/>
    <w:rsid w:val="00F3154D"/>
    <w:rsid w:val="00F34233"/>
    <w:rsid w:val="00F366EC"/>
    <w:rsid w:val="00F3724B"/>
    <w:rsid w:val="00F37FB3"/>
    <w:rsid w:val="00F414B3"/>
    <w:rsid w:val="00F44006"/>
    <w:rsid w:val="00F51C7C"/>
    <w:rsid w:val="00F52B60"/>
    <w:rsid w:val="00F53225"/>
    <w:rsid w:val="00F532C2"/>
    <w:rsid w:val="00F542F8"/>
    <w:rsid w:val="00F56A90"/>
    <w:rsid w:val="00F6055C"/>
    <w:rsid w:val="00F63F9F"/>
    <w:rsid w:val="00F648A2"/>
    <w:rsid w:val="00F70778"/>
    <w:rsid w:val="00F71B37"/>
    <w:rsid w:val="00F740E4"/>
    <w:rsid w:val="00F75826"/>
    <w:rsid w:val="00F7754B"/>
    <w:rsid w:val="00F8193B"/>
    <w:rsid w:val="00F86E08"/>
    <w:rsid w:val="00F86E99"/>
    <w:rsid w:val="00F8766B"/>
    <w:rsid w:val="00F90D22"/>
    <w:rsid w:val="00F91100"/>
    <w:rsid w:val="00F925A4"/>
    <w:rsid w:val="00F92828"/>
    <w:rsid w:val="00F94DAA"/>
    <w:rsid w:val="00F96860"/>
    <w:rsid w:val="00F96E14"/>
    <w:rsid w:val="00F97BD7"/>
    <w:rsid w:val="00FA1721"/>
    <w:rsid w:val="00FA2B5C"/>
    <w:rsid w:val="00FA5B4A"/>
    <w:rsid w:val="00FB1634"/>
    <w:rsid w:val="00FB34DB"/>
    <w:rsid w:val="00FB61C1"/>
    <w:rsid w:val="00FC0881"/>
    <w:rsid w:val="00FC39A7"/>
    <w:rsid w:val="00FC7946"/>
    <w:rsid w:val="00FC7FE3"/>
    <w:rsid w:val="00FD199B"/>
    <w:rsid w:val="00FD3540"/>
    <w:rsid w:val="00FD57B4"/>
    <w:rsid w:val="00FD59A1"/>
    <w:rsid w:val="00FD5ACD"/>
    <w:rsid w:val="00FE497F"/>
    <w:rsid w:val="00FE50B9"/>
    <w:rsid w:val="00FE5FA1"/>
    <w:rsid w:val="00FF49E3"/>
    <w:rsid w:val="00FF73FD"/>
    <w:rsid w:val="00FF7A47"/>
    <w:rsid w:val="03C86E2E"/>
    <w:rsid w:val="2BECA6E1"/>
    <w:rsid w:val="467178B5"/>
    <w:rsid w:val="5FAD36EB"/>
    <w:rsid w:val="60FD92B1"/>
    <w:rsid w:val="6148183A"/>
    <w:rsid w:val="6E007759"/>
    <w:rsid w:val="78664A5F"/>
    <w:rsid w:val="7E54E2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C9B15"/>
  <w15:chartTrackingRefBased/>
  <w15:docId w15:val="{D66A4365-128F-4468-A19B-718812D7B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7C7"/>
  </w:style>
  <w:style w:type="paragraph" w:styleId="Heading1">
    <w:name w:val="heading 1"/>
    <w:basedOn w:val="Normal"/>
    <w:next w:val="Normal"/>
    <w:link w:val="Heading1Char"/>
    <w:uiPriority w:val="9"/>
    <w:qFormat/>
    <w:rsid w:val="00F24679"/>
    <w:pPr>
      <w:keepNext/>
      <w:keepLines/>
      <w:numPr>
        <w:numId w:val="5"/>
      </w:numPr>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24679"/>
    <w:pPr>
      <w:keepNext/>
      <w:keepLines/>
      <w:numPr>
        <w:ilvl w:val="1"/>
        <w:numId w:val="5"/>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24679"/>
    <w:pPr>
      <w:keepNext/>
      <w:keepLines/>
      <w:numPr>
        <w:ilvl w:val="2"/>
        <w:numId w:val="5"/>
      </w:numPr>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F24679"/>
    <w:pPr>
      <w:keepNext/>
      <w:keepLines/>
      <w:numPr>
        <w:ilvl w:val="3"/>
        <w:numId w:val="5"/>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4679"/>
    <w:pPr>
      <w:keepNext/>
      <w:keepLines/>
      <w:numPr>
        <w:ilvl w:val="4"/>
        <w:numId w:val="5"/>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4679"/>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679"/>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679"/>
    <w:pPr>
      <w:keepNext/>
      <w:keepLines/>
      <w:numPr>
        <w:ilvl w:val="7"/>
        <w:numId w:val="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679"/>
    <w:pPr>
      <w:keepNext/>
      <w:keepLines/>
      <w:numPr>
        <w:ilvl w:val="8"/>
        <w:numId w:val="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6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246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246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F246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46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4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679"/>
    <w:rPr>
      <w:rFonts w:eastAsiaTheme="majorEastAsia" w:cstheme="majorBidi"/>
      <w:color w:val="272727" w:themeColor="text1" w:themeTint="D8"/>
    </w:rPr>
  </w:style>
  <w:style w:type="paragraph" w:styleId="Title">
    <w:name w:val="Title"/>
    <w:basedOn w:val="Normal"/>
    <w:next w:val="Normal"/>
    <w:link w:val="TitleChar"/>
    <w:uiPriority w:val="10"/>
    <w:qFormat/>
    <w:rsid w:val="00F24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679"/>
    <w:pPr>
      <w:spacing w:before="160"/>
      <w:jc w:val="center"/>
    </w:pPr>
    <w:rPr>
      <w:i/>
      <w:iCs/>
      <w:color w:val="404040" w:themeColor="text1" w:themeTint="BF"/>
    </w:rPr>
  </w:style>
  <w:style w:type="character" w:customStyle="1" w:styleId="QuoteChar">
    <w:name w:val="Quote Char"/>
    <w:basedOn w:val="DefaultParagraphFont"/>
    <w:link w:val="Quote"/>
    <w:uiPriority w:val="29"/>
    <w:rsid w:val="00F24679"/>
    <w:rPr>
      <w:i/>
      <w:iCs/>
      <w:color w:val="404040" w:themeColor="text1" w:themeTint="BF"/>
    </w:rPr>
  </w:style>
  <w:style w:type="paragraph" w:styleId="ListParagraph">
    <w:name w:val="List Paragraph"/>
    <w:basedOn w:val="Normal"/>
    <w:uiPriority w:val="34"/>
    <w:qFormat/>
    <w:rsid w:val="00F24679"/>
    <w:pPr>
      <w:ind w:left="720"/>
      <w:contextualSpacing/>
    </w:pPr>
  </w:style>
  <w:style w:type="character" w:styleId="IntenseEmphasis">
    <w:name w:val="Intense Emphasis"/>
    <w:basedOn w:val="DefaultParagraphFont"/>
    <w:uiPriority w:val="21"/>
    <w:qFormat/>
    <w:rsid w:val="00F24679"/>
    <w:rPr>
      <w:i/>
      <w:iCs/>
      <w:color w:val="2F5496" w:themeColor="accent1" w:themeShade="BF"/>
    </w:rPr>
  </w:style>
  <w:style w:type="paragraph" w:styleId="IntenseQuote">
    <w:name w:val="Intense Quote"/>
    <w:basedOn w:val="Normal"/>
    <w:next w:val="Normal"/>
    <w:link w:val="IntenseQuoteChar"/>
    <w:uiPriority w:val="30"/>
    <w:qFormat/>
    <w:rsid w:val="00F246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4679"/>
    <w:rPr>
      <w:i/>
      <w:iCs/>
      <w:color w:val="2F5496" w:themeColor="accent1" w:themeShade="BF"/>
    </w:rPr>
  </w:style>
  <w:style w:type="character" w:styleId="IntenseReference">
    <w:name w:val="Intense Reference"/>
    <w:basedOn w:val="DefaultParagraphFont"/>
    <w:uiPriority w:val="32"/>
    <w:qFormat/>
    <w:rsid w:val="00F24679"/>
    <w:rPr>
      <w:b/>
      <w:bCs/>
      <w:smallCaps/>
      <w:color w:val="2F5496" w:themeColor="accent1" w:themeShade="BF"/>
      <w:spacing w:val="5"/>
    </w:rPr>
  </w:style>
  <w:style w:type="character" w:styleId="Hyperlink">
    <w:name w:val="Hyperlink"/>
    <w:basedOn w:val="DefaultParagraphFont"/>
    <w:uiPriority w:val="99"/>
    <w:unhideWhenUsed/>
    <w:rsid w:val="00F24679"/>
    <w:rPr>
      <w:color w:val="0563C1" w:themeColor="hyperlink"/>
      <w:u w:val="single"/>
    </w:rPr>
  </w:style>
  <w:style w:type="character" w:styleId="UnresolvedMention">
    <w:name w:val="Unresolved Mention"/>
    <w:basedOn w:val="DefaultParagraphFont"/>
    <w:uiPriority w:val="99"/>
    <w:semiHidden/>
    <w:unhideWhenUsed/>
    <w:rsid w:val="00F24679"/>
    <w:rPr>
      <w:color w:val="605E5C"/>
      <w:shd w:val="clear" w:color="auto" w:fill="E1DFDD"/>
    </w:rPr>
  </w:style>
  <w:style w:type="character" w:styleId="FollowedHyperlink">
    <w:name w:val="FollowedHyperlink"/>
    <w:basedOn w:val="DefaultParagraphFont"/>
    <w:uiPriority w:val="99"/>
    <w:semiHidden/>
    <w:unhideWhenUsed/>
    <w:rsid w:val="00A52294"/>
    <w:rPr>
      <w:color w:val="954F72" w:themeColor="followedHyperlink"/>
      <w:u w:val="single"/>
    </w:rPr>
  </w:style>
  <w:style w:type="paragraph" w:styleId="Revision">
    <w:name w:val="Revision"/>
    <w:hidden/>
    <w:uiPriority w:val="99"/>
    <w:semiHidden/>
    <w:rsid w:val="002B3B2F"/>
    <w:pPr>
      <w:spacing w:after="0" w:line="240" w:lineRule="auto"/>
    </w:pPr>
  </w:style>
  <w:style w:type="character" w:styleId="Strong">
    <w:name w:val="Strong"/>
    <w:basedOn w:val="DefaultParagraphFont"/>
    <w:uiPriority w:val="22"/>
    <w:qFormat/>
    <w:rsid w:val="006C66CE"/>
    <w:rPr>
      <w:b/>
      <w:bCs/>
    </w:rPr>
  </w:style>
  <w:style w:type="paragraph" w:styleId="TOCHeading">
    <w:name w:val="TOC Heading"/>
    <w:basedOn w:val="Heading1"/>
    <w:next w:val="Normal"/>
    <w:uiPriority w:val="39"/>
    <w:unhideWhenUsed/>
    <w:qFormat/>
    <w:rsid w:val="00F648A2"/>
    <w:pPr>
      <w:numPr>
        <w:numId w:val="0"/>
      </w:num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F648A2"/>
    <w:pPr>
      <w:spacing w:after="100"/>
    </w:pPr>
  </w:style>
  <w:style w:type="paragraph" w:styleId="TOC2">
    <w:name w:val="toc 2"/>
    <w:basedOn w:val="Normal"/>
    <w:next w:val="Normal"/>
    <w:autoRedefine/>
    <w:uiPriority w:val="39"/>
    <w:unhideWhenUsed/>
    <w:rsid w:val="00F648A2"/>
    <w:pPr>
      <w:spacing w:after="100"/>
      <w:ind w:left="240"/>
    </w:pPr>
  </w:style>
  <w:style w:type="paragraph" w:styleId="TOC3">
    <w:name w:val="toc 3"/>
    <w:basedOn w:val="Normal"/>
    <w:next w:val="Normal"/>
    <w:autoRedefine/>
    <w:uiPriority w:val="39"/>
    <w:unhideWhenUsed/>
    <w:rsid w:val="00F648A2"/>
    <w:pPr>
      <w:spacing w:after="100"/>
      <w:ind w:left="480"/>
    </w:pPr>
  </w:style>
  <w:style w:type="paragraph" w:styleId="Header">
    <w:name w:val="header"/>
    <w:basedOn w:val="Normal"/>
    <w:link w:val="HeaderChar"/>
    <w:uiPriority w:val="99"/>
    <w:unhideWhenUsed/>
    <w:rsid w:val="00EA7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C6A"/>
  </w:style>
  <w:style w:type="paragraph" w:styleId="Footer">
    <w:name w:val="footer"/>
    <w:basedOn w:val="Normal"/>
    <w:link w:val="FooterChar"/>
    <w:uiPriority w:val="99"/>
    <w:unhideWhenUsed/>
    <w:rsid w:val="00EA7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C6A"/>
  </w:style>
  <w:style w:type="table" w:styleId="TableGrid">
    <w:name w:val="Table Grid"/>
    <w:basedOn w:val="TableNormal"/>
    <w:uiPriority w:val="39"/>
    <w:rsid w:val="00F71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71B3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CA1428"/>
    <w:rPr>
      <w:sz w:val="16"/>
      <w:szCs w:val="16"/>
    </w:rPr>
  </w:style>
  <w:style w:type="paragraph" w:styleId="CommentText">
    <w:name w:val="annotation text"/>
    <w:basedOn w:val="Normal"/>
    <w:link w:val="CommentTextChar"/>
    <w:uiPriority w:val="99"/>
    <w:unhideWhenUsed/>
    <w:rsid w:val="00CA1428"/>
    <w:pPr>
      <w:spacing w:line="240" w:lineRule="auto"/>
    </w:pPr>
    <w:rPr>
      <w:sz w:val="20"/>
      <w:szCs w:val="20"/>
    </w:rPr>
  </w:style>
  <w:style w:type="character" w:customStyle="1" w:styleId="CommentTextChar">
    <w:name w:val="Comment Text Char"/>
    <w:basedOn w:val="DefaultParagraphFont"/>
    <w:link w:val="CommentText"/>
    <w:uiPriority w:val="99"/>
    <w:rsid w:val="00CA1428"/>
    <w:rPr>
      <w:sz w:val="20"/>
      <w:szCs w:val="20"/>
    </w:rPr>
  </w:style>
  <w:style w:type="paragraph" w:styleId="CommentSubject">
    <w:name w:val="annotation subject"/>
    <w:basedOn w:val="CommentText"/>
    <w:next w:val="CommentText"/>
    <w:link w:val="CommentSubjectChar"/>
    <w:uiPriority w:val="99"/>
    <w:semiHidden/>
    <w:unhideWhenUsed/>
    <w:rsid w:val="00CA1428"/>
    <w:rPr>
      <w:b/>
      <w:bCs/>
    </w:rPr>
  </w:style>
  <w:style w:type="character" w:customStyle="1" w:styleId="CommentSubjectChar">
    <w:name w:val="Comment Subject Char"/>
    <w:basedOn w:val="CommentTextChar"/>
    <w:link w:val="CommentSubject"/>
    <w:uiPriority w:val="99"/>
    <w:semiHidden/>
    <w:rsid w:val="00CA1428"/>
    <w:rPr>
      <w:b/>
      <w:bCs/>
      <w:sz w:val="20"/>
      <w:szCs w:val="20"/>
    </w:rPr>
  </w:style>
  <w:style w:type="character" w:styleId="SubtleReference">
    <w:name w:val="Subtle Reference"/>
    <w:basedOn w:val="DefaultParagraphFont"/>
    <w:uiPriority w:val="31"/>
    <w:qFormat/>
    <w:rsid w:val="001D4249"/>
    <w:rPr>
      <w:smallCaps/>
      <w:color w:val="5A5A5A" w:themeColor="text1" w:themeTint="A5"/>
    </w:rPr>
  </w:style>
  <w:style w:type="paragraph" w:styleId="NoSpacing">
    <w:name w:val="No Spacing"/>
    <w:link w:val="NoSpacingChar"/>
    <w:uiPriority w:val="1"/>
    <w:qFormat/>
    <w:rsid w:val="00963C2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63C29"/>
    <w:rPr>
      <w:rFonts w:eastAsiaTheme="minorEastAsia"/>
      <w:kern w:val="0"/>
      <w:sz w:val="22"/>
      <w:szCs w:val="22"/>
      <w14:ligatures w14:val="none"/>
    </w:rPr>
  </w:style>
  <w:style w:type="paragraph" w:styleId="NormalWeb">
    <w:name w:val="Normal (Web)"/>
    <w:basedOn w:val="Normal"/>
    <w:uiPriority w:val="99"/>
    <w:semiHidden/>
    <w:unhideWhenUsed/>
    <w:rsid w:val="00FA5B4A"/>
    <w:pPr>
      <w:spacing w:before="100" w:beforeAutospacing="1" w:after="100" w:afterAutospacing="1" w:line="240" w:lineRule="auto"/>
    </w:pPr>
    <w:rPr>
      <w:rFonts w:ascii="Times New Roman" w:eastAsiaTheme="minorEastAsia"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dn.fpml.org/spec/fpml-5-13-7-rec-1/html/confirmation/schemaDocumentation/schemas/fpml-return-swaps-5-13_xsd/complexTypes/EquitySwapTransactionSupplement.html" TargetMode="External"/><Relationship Id="rId21" Type="http://schemas.openxmlformats.org/officeDocument/2006/relationships/hyperlink" Target="https://www.fpml.org/spec/fpml-5-13-7-rec-1/html/confirmation/schemaDocumentation/schemas/fpml-eqd-5-13_xsd/elements/equityForward.html" TargetMode="External"/><Relationship Id="rId34" Type="http://schemas.openxmlformats.org/officeDocument/2006/relationships/hyperlink" Target="https://www.fpml.org/spec/fpml-5-13-7-rec-1/html/confirmation/schemaDocumentation/schemas/fpml-volatility-swaps-5-13_xsd/complexTypes/VolatilitySwapTransactionSupplement/volatilityLeg.html" TargetMode="External"/><Relationship Id="rId42" Type="http://schemas.openxmlformats.org/officeDocument/2006/relationships/hyperlink" Target="https://cdn.fpml.org/spec/fpml-5-13-7-rec-1/html/confirmation/schemaDocumentation/schemas/fpml-eq-shared-5-13_xsd/complexTypes/ReturnLegValuationPrice/valuationRules.html" TargetMode="External"/><Relationship Id="rId47" Type="http://schemas.openxmlformats.org/officeDocument/2006/relationships/hyperlink" Target="https://cdn.fpml.org/spec/fpml-5-13-7-rec-1/html/confirmation/schemaDocumentation/schemas/fpml-eq-shared-5-13_xsd/complexTypes/EquityValuation.html" TargetMode="External"/><Relationship Id="rId50" Type="http://schemas.openxmlformats.org/officeDocument/2006/relationships/image" Target="media/image8.png"/><Relationship Id="rId55" Type="http://schemas.openxmlformats.org/officeDocument/2006/relationships/image" Target="media/image11.png"/><Relationship Id="rId63"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www.fpml.org/spec/fpml-5-13-7-rec-1/html/confirmation/schemaDocumentation/schemas/fpml-variance-swaps-5-13_xsd/complexTypes/VarianceSwapTransactionSupplement.html" TargetMode="External"/><Relationship Id="rId11" Type="http://schemas.openxmlformats.org/officeDocument/2006/relationships/image" Target="media/image1.png"/><Relationship Id="rId24" Type="http://schemas.openxmlformats.org/officeDocument/2006/relationships/hyperlink" Target="https://cdn.fpml.org/spec/fpml-5-13-7-rec-1/html/confirmation/schemaDocumentation/schemas/fpml-eq-shared-5-13_xsd/complexTypes/ReturnLegValuationPrice/valuationRules.html" TargetMode="External"/><Relationship Id="rId32" Type="http://schemas.openxmlformats.org/officeDocument/2006/relationships/hyperlink" Target="https://www.fpml.org/spec/fpml-5-13-7-rec-1/html/confirmation/schemaDocumentation/schemas/fpml-volatility-swaps-5-13_xsd/complexTypes/VolatilitySwap/volatilityLeg.html" TargetMode="External"/><Relationship Id="rId37" Type="http://schemas.openxmlformats.org/officeDocument/2006/relationships/hyperlink" Target="https://www.fpml.org/spec/fpml-5-13-7-rec-1/html/confirmation/schemaDocumentation/schemas/fpml-asset-5-13_xsd/complexTypes/Price/determinationMethod.html" TargetMode="External"/><Relationship Id="rId40" Type="http://schemas.openxmlformats.org/officeDocument/2006/relationships/hyperlink" Target="https://cdn.fpml.org/spec/fpml-5-13-7-rec-1/html/confirmation/schemaDocumentation/schemas/fpml-eq-shared-5-13_xsd/complexTypes/ReturnLegValuationPrice/valuationRules.html" TargetMode="External"/><Relationship Id="rId45" Type="http://schemas.openxmlformats.org/officeDocument/2006/relationships/hyperlink" Target="https://cdn.fpml.org/spec/fpml-5-13-7-rec-1/html/confirmation/schemaDocumentation/schemas/fpml-eq-shared-5-13_xsd/complexTypes/ReturnLegValuationPrice/valuationRules.html" TargetMode="External"/><Relationship Id="rId53" Type="http://schemas.openxmlformats.org/officeDocument/2006/relationships/hyperlink" Target="https://cdn.fpml.org/spec/fpml-5-13-7-rec-1/html/confirmation/schemaDocumentation/schemas/fpml-return-swaps-5-13_xsd/elements/equitySwapTransactionSupplement.html" TargetMode="External"/><Relationship Id="rId58" Type="http://schemas.openxmlformats.org/officeDocument/2006/relationships/hyperlink" Target="https://cdn.fpml.org/spec/fpml-5-13-7-rec-1/html/confirmation/schemaDocumentation/schemas/fpml-return-swaps-5-13_xsd/elements/equitySwapTransactionSupplement.html" TargetMode="External"/><Relationship Id="rId66" Type="http://schemas.microsoft.com/office/2011/relationships/people" Target="people.xml"/><Relationship Id="rId5" Type="http://schemas.openxmlformats.org/officeDocument/2006/relationships/numbering" Target="numbering.xml"/><Relationship Id="rId61" Type="http://schemas.openxmlformats.org/officeDocument/2006/relationships/image" Target="media/image16.emf"/><Relationship Id="rId19" Type="http://schemas.openxmlformats.org/officeDocument/2006/relationships/hyperlink" Target="https://www.fpml.org/spec/fpml-5-13-7-rec-1/html/confirmation/schemaDocumentation/schemas/fpml-eqd-5-13_xsd/complexTypes/EquityExerciseValuationSettlement/equityValuation.html" TargetMode="External"/><Relationship Id="rId14" Type="http://schemas.microsoft.com/office/2016/09/relationships/commentsIds" Target="commentsIds.xml"/><Relationship Id="rId22" Type="http://schemas.openxmlformats.org/officeDocument/2006/relationships/hyperlink" Target="https://www.fpml.org/spec/fpml-5-13-7-rec-1/html/confirmation/schemaDocumentation/schemas/fpml-eqd-5-13_xsd/elements/equityOption.html" TargetMode="External"/><Relationship Id="rId27" Type="http://schemas.openxmlformats.org/officeDocument/2006/relationships/hyperlink" Target="https://www.fpml.org/spec/fpml-5-13-7-rec-1/html/confirmation/schemaDocumentation/schemas/fpml-correlation-swaps-5-13_xsd/complexTypes/CorrelationSwap/correlationLeg.html" TargetMode="External"/><Relationship Id="rId30" Type="http://schemas.openxmlformats.org/officeDocument/2006/relationships/hyperlink" Target="https://www.fpml.org/spec/fpml-5-13-7-rec-1/html/confirmation/schemaDocumentation/schemas/fpml-variance-swaps-5-13_xsd/complexTypes/VarianceSwap/varianceLeg.html" TargetMode="External"/><Relationship Id="rId35" Type="http://schemas.openxmlformats.org/officeDocument/2006/relationships/hyperlink" Target="https://www.fpml.org/spec/fpml-5-13-7-rec-1/html/confirmation/schemaDocumentation/schemas/fpml-volatility-swaps-5-13_xsd/elements/volatilitySwapTransactionSupplement.html" TargetMode="External"/><Relationship Id="rId43" Type="http://schemas.openxmlformats.org/officeDocument/2006/relationships/image" Target="media/image6.png"/><Relationship Id="rId48" Type="http://schemas.openxmlformats.org/officeDocument/2006/relationships/hyperlink" Target="https://cdn.fpml.org/spec/fpml-5-13-7-rec-1/html/confirmation/schemaDocumentation/schemas/fpml-eq-shared-5-13_xsd/complexTypes/ReturnLegValuationPrice/valuationRules.html" TargetMode="External"/><Relationship Id="rId56" Type="http://schemas.openxmlformats.org/officeDocument/2006/relationships/image" Target="media/image12.png"/><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9.png"/><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image" Target="media/image3.png"/><Relationship Id="rId25" Type="http://schemas.openxmlformats.org/officeDocument/2006/relationships/hyperlink" Target="https://cdn.fpml.org/spec/fpml-5-13-7-rec-1/html/confirmation/schemaDocumentation/schemas/fpml-eq-shared-5-13_xsd/complexTypes/ReturnSwap.html" TargetMode="External"/><Relationship Id="rId33" Type="http://schemas.openxmlformats.org/officeDocument/2006/relationships/hyperlink" Target="https://www.fpml.org/spec/fpml-5-13-7-rec-1/html/confirmation/schemaDocumentation/schemas/fpml-volatility-swaps-5-13_xsd/elements/volatilitySwap.html" TargetMode="External"/><Relationship Id="rId38" Type="http://schemas.openxmlformats.org/officeDocument/2006/relationships/hyperlink" Target="https://cdn.fpml.org/spec/fpml-5-13-7-rec-1/html/confirmation/schemaDocumentation/schemas/fpml-eq-shared-5-13_xsd/complexTypes/ReturnLegValuationPrice/valuationRules.html" TargetMode="External"/><Relationship Id="rId46" Type="http://schemas.openxmlformats.org/officeDocument/2006/relationships/hyperlink" Target="https://cdn.fpml.org/spec/fpml-5-13-7-rec-1/html/confirmation/schemaDocumentation/schemas/fpml-eq-shared-5-13_xsd/complexTypes/ReturnLegValuationPrice/valuationRules.html" TargetMode="External"/><Relationship Id="rId59" Type="http://schemas.openxmlformats.org/officeDocument/2006/relationships/image" Target="media/image14.png"/><Relationship Id="rId67" Type="http://schemas.openxmlformats.org/officeDocument/2006/relationships/theme" Target="theme/theme1.xml"/><Relationship Id="rId20" Type="http://schemas.openxmlformats.org/officeDocument/2006/relationships/hyperlink" Target="https://www.fpml.org/spec/fpml-5-13-7-rec-1/html/confirmation/schemaDocumentation/schemas/fpml-eqd-5-13_xsd/elements/brokerEquityOption.html" TargetMode="External"/><Relationship Id="rId41" Type="http://schemas.openxmlformats.org/officeDocument/2006/relationships/image" Target="media/image5.png"/><Relationship Id="rId54" Type="http://schemas.openxmlformats.org/officeDocument/2006/relationships/hyperlink" Target="https://cdn.fpml.org/spec/fpml-5-13-7-rec-1/html/confirmation/schemaDocumentation/schemas/fpml-return-swaps-5-13_xsd/elements/equitySwapTransactionSupplement.html" TargetMode="External"/><Relationship Id="rId62"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https://www.fpml.org/spec/fpml-5-13-7-rec-1/html/confirmation/schemaDocumentation/schemas/fpml-eqd-5-13_xsd/elements/equityOptionTransactionSupplement.html" TargetMode="External"/><Relationship Id="rId28" Type="http://schemas.openxmlformats.org/officeDocument/2006/relationships/hyperlink" Target="https://www.fpml.org/spec/fpml-5-13-7-rec-1/html/confirmation/schemaDocumentation/schemas/fpml-variance-swaps-5-13_xsd/complexTypes/VarianceSwapTransactionSupplement/varianceLeg.html" TargetMode="External"/><Relationship Id="rId36" Type="http://schemas.openxmlformats.org/officeDocument/2006/relationships/image" Target="media/image4.EDA999D0"/><Relationship Id="rId49" Type="http://schemas.openxmlformats.org/officeDocument/2006/relationships/hyperlink" Target="https://cdn.fpml.org/spec/fpml-5-13-7-rec-1/html/confirmation/schemaDocumentation/schemas/fpml-eq-shared-5-13_xsd/complexTypes/EquityValuation.html" TargetMode="External"/><Relationship Id="rId57" Type="http://schemas.openxmlformats.org/officeDocument/2006/relationships/image" Target="media/image13.png"/><Relationship Id="rId10" Type="http://schemas.openxmlformats.org/officeDocument/2006/relationships/endnotes" Target="endnotes.xml"/><Relationship Id="rId31" Type="http://schemas.openxmlformats.org/officeDocument/2006/relationships/hyperlink" Target="https://www.fpml.org/spec/fpml-5-13-7-rec-1/html/confirmation/schemaDocumentation/schemas/fpml-variance-swaps-5-13_xsd/elements/varianceSwap.html" TargetMode="External"/><Relationship Id="rId44" Type="http://schemas.openxmlformats.org/officeDocument/2006/relationships/image" Target="media/image7.png"/><Relationship Id="rId52" Type="http://schemas.openxmlformats.org/officeDocument/2006/relationships/image" Target="media/image10.png"/><Relationship Id="rId60" Type="http://schemas.openxmlformats.org/officeDocument/2006/relationships/image" Target="media/image15.pn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yperlink" Target="https://www.fpml.org/spec/fpml-5-13-7-rec-1/html/confirmation/schemaDocumentation/schemas/fpml-eqd-5-13_xsd/complexTypes/EquityDerivativeBase/equityExercise.html" TargetMode="External"/><Relationship Id="rId39" Type="http://schemas.openxmlformats.org/officeDocument/2006/relationships/hyperlink" Target="https://www.fpml.org/spec/fpml-5-13-7-rec-1/html/confirmation/schemaDocumentation/schemas/fpml-eq-shared-5-13_xsd/complexTypes/EquityValuation/valuationTimeType.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theme/theme1.xml><?xml version="1.0" encoding="utf-8"?>
<a:theme xmlns:a="http://schemas.openxmlformats.org/drawingml/2006/main" name="ISDA-FpML">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CD52FE36569E4998CE95CD527CE249" ma:contentTypeVersion="15" ma:contentTypeDescription="Create a new document." ma:contentTypeScope="" ma:versionID="44c591cb8643b4705a59af71955117e1">
  <xsd:schema xmlns:xsd="http://www.w3.org/2001/XMLSchema" xmlns:xs="http://www.w3.org/2001/XMLSchema" xmlns:p="http://schemas.microsoft.com/office/2006/metadata/properties" xmlns:ns2="9860e177-c601-4f0c-8150-b55024a509d2" xmlns:ns3="fd336e17-4dad-4b20-aca4-a6dce9d1d52f" targetNamespace="http://schemas.microsoft.com/office/2006/metadata/properties" ma:root="true" ma:fieldsID="41966bef6f8ed1b1ce908e5e5a08e1f3" ns2:_="" ns3:_="">
    <xsd:import namespace="9860e177-c601-4f0c-8150-b55024a509d2"/>
    <xsd:import namespace="fd336e17-4dad-4b20-aca4-a6dce9d1d5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Descript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0e177-c601-4f0c-8150-b55024a50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445ece8-0e9f-4286-ad44-c4403c44d02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scriptions" ma:index="20" nillable="true" ma:displayName="Descriptions" ma:format="Dropdown" ma:internalName="Descriptions">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36e17-4dad-4b20-aca4-a6dce9d1d5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1ce1461-fe1a-4de2-aef5-e7768a457f85}" ma:internalName="TaxCatchAll" ma:showField="CatchAllData" ma:web="fd336e17-4dad-4b20-aca4-a6dce9d1d5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60e177-c601-4f0c-8150-b55024a509d2">
      <Terms xmlns="http://schemas.microsoft.com/office/infopath/2007/PartnerControls"/>
    </lcf76f155ced4ddcb4097134ff3c332f>
    <Descriptions xmlns="9860e177-c601-4f0c-8150-b55024a509d2" xsi:nil="true"/>
    <TaxCatchAll xmlns="fd336e17-4dad-4b20-aca4-a6dce9d1d52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83C24-2C4F-4AC3-BFBE-A2A876F867D6}">
  <ds:schemaRefs>
    <ds:schemaRef ds:uri="http://schemas.microsoft.com/sharepoint/v3/contenttype/forms"/>
  </ds:schemaRefs>
</ds:datastoreItem>
</file>

<file path=customXml/itemProps2.xml><?xml version="1.0" encoding="utf-8"?>
<ds:datastoreItem xmlns:ds="http://schemas.openxmlformats.org/officeDocument/2006/customXml" ds:itemID="{2769BD21-B00A-41A5-BCBA-57970472A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60e177-c601-4f0c-8150-b55024a509d2"/>
    <ds:schemaRef ds:uri="fd336e17-4dad-4b20-aca4-a6dce9d1d5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3BDF88-C99B-4AD2-96DD-B426A77D891D}">
  <ds:schemaRefs>
    <ds:schemaRef ds:uri="http://schemas.microsoft.com/office/2006/metadata/properties"/>
    <ds:schemaRef ds:uri="http://schemas.microsoft.com/office/infopath/2007/PartnerControls"/>
    <ds:schemaRef ds:uri="9860e177-c601-4f0c-8150-b55024a509d2"/>
    <ds:schemaRef ds:uri="fd336e17-4dad-4b20-aca4-a6dce9d1d52f"/>
  </ds:schemaRefs>
</ds:datastoreItem>
</file>

<file path=customXml/itemProps4.xml><?xml version="1.0" encoding="utf-8"?>
<ds:datastoreItem xmlns:ds="http://schemas.openxmlformats.org/officeDocument/2006/customXml" ds:itemID="{73C25031-C189-4C1D-B120-BAD4D3FA6AE2}">
  <ds:schemaRefs>
    <ds:schemaRef ds:uri="http://schemas.openxmlformats.org/officeDocument/2006/bibliography"/>
  </ds:schemaRefs>
</ds:datastoreItem>
</file>

<file path=docMetadata/LabelInfo.xml><?xml version="1.0" encoding="utf-8"?>
<clbl:labelList xmlns:clbl="http://schemas.microsoft.com/office/2020/mipLabelMetadata">
  <clbl:label id="{ab676213-c285-47a2-bc12-c9207c5e8ed8}" enabled="0" method="" siteId="{ab676213-c285-47a2-bc12-c9207c5e8ed8}"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14</Pages>
  <Words>2822</Words>
  <Characters>16089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18874</CharactersWithSpaces>
  <SharedDoc>false</SharedDoc>
  <HLinks>
    <vt:vector size="234" baseType="variant">
      <vt:variant>
        <vt:i4>3473421</vt:i4>
      </vt:variant>
      <vt:variant>
        <vt:i4>135</vt:i4>
      </vt:variant>
      <vt:variant>
        <vt:i4>0</vt:i4>
      </vt:variant>
      <vt:variant>
        <vt:i4>5</vt:i4>
      </vt:variant>
      <vt:variant>
        <vt:lpwstr>https://cdn.fpml.org/spec/fpml-5-13-7-rec-1/html/confirmation/schemaDocumentation/schemas/fpml-return-swaps-5-13_xsd/elements/equitySwapTransactionSupplement.html</vt:lpwstr>
      </vt:variant>
      <vt:variant>
        <vt:lpwstr/>
      </vt:variant>
      <vt:variant>
        <vt:i4>3473421</vt:i4>
      </vt:variant>
      <vt:variant>
        <vt:i4>132</vt:i4>
      </vt:variant>
      <vt:variant>
        <vt:i4>0</vt:i4>
      </vt:variant>
      <vt:variant>
        <vt:i4>5</vt:i4>
      </vt:variant>
      <vt:variant>
        <vt:lpwstr>https://cdn.fpml.org/spec/fpml-5-13-7-rec-1/html/confirmation/schemaDocumentation/schemas/fpml-return-swaps-5-13_xsd/elements/equitySwapTransactionSupplement.html</vt:lpwstr>
      </vt:variant>
      <vt:variant>
        <vt:lpwstr/>
      </vt:variant>
      <vt:variant>
        <vt:i4>3473421</vt:i4>
      </vt:variant>
      <vt:variant>
        <vt:i4>129</vt:i4>
      </vt:variant>
      <vt:variant>
        <vt:i4>0</vt:i4>
      </vt:variant>
      <vt:variant>
        <vt:i4>5</vt:i4>
      </vt:variant>
      <vt:variant>
        <vt:lpwstr>https://cdn.fpml.org/spec/fpml-5-13-7-rec-1/html/confirmation/schemaDocumentation/schemas/fpml-return-swaps-5-13_xsd/elements/equitySwapTransactionSupplement.html</vt:lpwstr>
      </vt:variant>
      <vt:variant>
        <vt:lpwstr/>
      </vt:variant>
      <vt:variant>
        <vt:i4>65597</vt:i4>
      </vt:variant>
      <vt:variant>
        <vt:i4>126</vt:i4>
      </vt:variant>
      <vt:variant>
        <vt:i4>0</vt:i4>
      </vt:variant>
      <vt:variant>
        <vt:i4>5</vt:i4>
      </vt:variant>
      <vt:variant>
        <vt:lpwstr>https://cdn.fpml.org/spec/fpml-5-13-7-rec-1/html/confirmation/schemaDocumentation/schemas/fpml-eq-shared-5-13_xsd/complexTypes/EquityValuation.html</vt:lpwstr>
      </vt:variant>
      <vt:variant>
        <vt:lpwstr/>
      </vt:variant>
      <vt:variant>
        <vt:i4>4849719</vt:i4>
      </vt:variant>
      <vt:variant>
        <vt:i4>123</vt:i4>
      </vt:variant>
      <vt:variant>
        <vt:i4>0</vt:i4>
      </vt:variant>
      <vt:variant>
        <vt:i4>5</vt:i4>
      </vt:variant>
      <vt:variant>
        <vt:lpwstr>https://cdn.fpml.org/spec/fpml-5-13-7-rec-1/html/confirmation/schemaDocumentation/schemas/fpml-eq-shared-5-13_xsd/complexTypes/ReturnLegValuationPrice/valuationRules.html</vt:lpwstr>
      </vt:variant>
      <vt:variant>
        <vt:lpwstr/>
      </vt:variant>
      <vt:variant>
        <vt:i4>65597</vt:i4>
      </vt:variant>
      <vt:variant>
        <vt:i4>120</vt:i4>
      </vt:variant>
      <vt:variant>
        <vt:i4>0</vt:i4>
      </vt:variant>
      <vt:variant>
        <vt:i4>5</vt:i4>
      </vt:variant>
      <vt:variant>
        <vt:lpwstr>https://cdn.fpml.org/spec/fpml-5-13-7-rec-1/html/confirmation/schemaDocumentation/schemas/fpml-eq-shared-5-13_xsd/complexTypes/EquityValuation.html</vt:lpwstr>
      </vt:variant>
      <vt:variant>
        <vt:lpwstr/>
      </vt:variant>
      <vt:variant>
        <vt:i4>4849719</vt:i4>
      </vt:variant>
      <vt:variant>
        <vt:i4>117</vt:i4>
      </vt:variant>
      <vt:variant>
        <vt:i4>0</vt:i4>
      </vt:variant>
      <vt:variant>
        <vt:i4>5</vt:i4>
      </vt:variant>
      <vt:variant>
        <vt:lpwstr>https://cdn.fpml.org/spec/fpml-5-13-7-rec-1/html/confirmation/schemaDocumentation/schemas/fpml-eq-shared-5-13_xsd/complexTypes/ReturnLegValuationPrice/valuationRules.html</vt:lpwstr>
      </vt:variant>
      <vt:variant>
        <vt:lpwstr/>
      </vt:variant>
      <vt:variant>
        <vt:i4>4849719</vt:i4>
      </vt:variant>
      <vt:variant>
        <vt:i4>114</vt:i4>
      </vt:variant>
      <vt:variant>
        <vt:i4>0</vt:i4>
      </vt:variant>
      <vt:variant>
        <vt:i4>5</vt:i4>
      </vt:variant>
      <vt:variant>
        <vt:lpwstr>https://cdn.fpml.org/spec/fpml-5-13-7-rec-1/html/confirmation/schemaDocumentation/schemas/fpml-eq-shared-5-13_xsd/complexTypes/ReturnLegValuationPrice/valuationRules.html</vt:lpwstr>
      </vt:variant>
      <vt:variant>
        <vt:lpwstr/>
      </vt:variant>
      <vt:variant>
        <vt:i4>65597</vt:i4>
      </vt:variant>
      <vt:variant>
        <vt:i4>111</vt:i4>
      </vt:variant>
      <vt:variant>
        <vt:i4>0</vt:i4>
      </vt:variant>
      <vt:variant>
        <vt:i4>5</vt:i4>
      </vt:variant>
      <vt:variant>
        <vt:lpwstr>https://cdn.fpml.org/spec/fpml-5-13-7-rec-1/html/confirmation/schemaDocumentation/schemas/fpml-eq-shared-5-13_xsd/complexTypes/EquityValuation.html</vt:lpwstr>
      </vt:variant>
      <vt:variant>
        <vt:lpwstr/>
      </vt:variant>
      <vt:variant>
        <vt:i4>4849719</vt:i4>
      </vt:variant>
      <vt:variant>
        <vt:i4>108</vt:i4>
      </vt:variant>
      <vt:variant>
        <vt:i4>0</vt:i4>
      </vt:variant>
      <vt:variant>
        <vt:i4>5</vt:i4>
      </vt:variant>
      <vt:variant>
        <vt:lpwstr>https://cdn.fpml.org/spec/fpml-5-13-7-rec-1/html/confirmation/schemaDocumentation/schemas/fpml-eq-shared-5-13_xsd/complexTypes/ReturnLegValuationPrice/valuationRules.html</vt:lpwstr>
      </vt:variant>
      <vt:variant>
        <vt:lpwstr/>
      </vt:variant>
      <vt:variant>
        <vt:i4>4849719</vt:i4>
      </vt:variant>
      <vt:variant>
        <vt:i4>105</vt:i4>
      </vt:variant>
      <vt:variant>
        <vt:i4>0</vt:i4>
      </vt:variant>
      <vt:variant>
        <vt:i4>5</vt:i4>
      </vt:variant>
      <vt:variant>
        <vt:lpwstr>https://cdn.fpml.org/spec/fpml-5-13-7-rec-1/html/confirmation/schemaDocumentation/schemas/fpml-eq-shared-5-13_xsd/complexTypes/ReturnLegValuationPrice/valuationRules.html</vt:lpwstr>
      </vt:variant>
      <vt:variant>
        <vt:lpwstr/>
      </vt:variant>
      <vt:variant>
        <vt:i4>4849719</vt:i4>
      </vt:variant>
      <vt:variant>
        <vt:i4>102</vt:i4>
      </vt:variant>
      <vt:variant>
        <vt:i4>0</vt:i4>
      </vt:variant>
      <vt:variant>
        <vt:i4>5</vt:i4>
      </vt:variant>
      <vt:variant>
        <vt:lpwstr>https://cdn.fpml.org/spec/fpml-5-13-7-rec-1/html/confirmation/schemaDocumentation/schemas/fpml-eq-shared-5-13_xsd/complexTypes/ReturnLegValuationPrice/valuationRules.html</vt:lpwstr>
      </vt:variant>
      <vt:variant>
        <vt:lpwstr/>
      </vt:variant>
      <vt:variant>
        <vt:i4>8257549</vt:i4>
      </vt:variant>
      <vt:variant>
        <vt:i4>99</vt:i4>
      </vt:variant>
      <vt:variant>
        <vt:i4>0</vt:i4>
      </vt:variant>
      <vt:variant>
        <vt:i4>5</vt:i4>
      </vt:variant>
      <vt:variant>
        <vt:lpwstr>https://www.fpml.org/spec/fpml-5-13-7-rec-1/html/confirmation/schemaDocumentation/schemas/fpml-eq-shared-5-13_xsd/complexTypes/EquityValuation/valuationTimeType.html</vt:lpwstr>
      </vt:variant>
      <vt:variant>
        <vt:lpwstr/>
      </vt:variant>
      <vt:variant>
        <vt:i4>4849719</vt:i4>
      </vt:variant>
      <vt:variant>
        <vt:i4>96</vt:i4>
      </vt:variant>
      <vt:variant>
        <vt:i4>0</vt:i4>
      </vt:variant>
      <vt:variant>
        <vt:i4>5</vt:i4>
      </vt:variant>
      <vt:variant>
        <vt:lpwstr>https://cdn.fpml.org/spec/fpml-5-13-7-rec-1/html/confirmation/schemaDocumentation/schemas/fpml-eq-shared-5-13_xsd/complexTypes/ReturnLegValuationPrice/valuationRules.html</vt:lpwstr>
      </vt:variant>
      <vt:variant>
        <vt:lpwstr/>
      </vt:variant>
      <vt:variant>
        <vt:i4>2228254</vt:i4>
      </vt:variant>
      <vt:variant>
        <vt:i4>93</vt:i4>
      </vt:variant>
      <vt:variant>
        <vt:i4>0</vt:i4>
      </vt:variant>
      <vt:variant>
        <vt:i4>5</vt:i4>
      </vt:variant>
      <vt:variant>
        <vt:lpwstr>https://www.fpml.org/spec/fpml-5-13-7-rec-1/html/confirmation/schemaDocumentation/schemas/fpml-asset-5-13_xsd/complexTypes/Price/determinationMethod.html</vt:lpwstr>
      </vt:variant>
      <vt:variant>
        <vt:lpwstr/>
      </vt:variant>
      <vt:variant>
        <vt:i4>3276827</vt:i4>
      </vt:variant>
      <vt:variant>
        <vt:i4>90</vt:i4>
      </vt:variant>
      <vt:variant>
        <vt:i4>0</vt:i4>
      </vt:variant>
      <vt:variant>
        <vt:i4>5</vt:i4>
      </vt:variant>
      <vt:variant>
        <vt:lpwstr>https://www.fpml.org/spec/fpml-5-13-7-rec-1/html/confirmation/schemaDocumentation/schemas/fpml-volatility-swaps-5-13_xsd/elements/volatilitySwapTransactionSupplement.html</vt:lpwstr>
      </vt:variant>
      <vt:variant>
        <vt:lpwstr/>
      </vt:variant>
      <vt:variant>
        <vt:i4>1572983</vt:i4>
      </vt:variant>
      <vt:variant>
        <vt:i4>87</vt:i4>
      </vt:variant>
      <vt:variant>
        <vt:i4>0</vt:i4>
      </vt:variant>
      <vt:variant>
        <vt:i4>5</vt:i4>
      </vt:variant>
      <vt:variant>
        <vt:lpwstr>https://www.fpml.org/spec/fpml-5-13-7-rec-1/html/confirmation/schemaDocumentation/schemas/fpml-volatility-swaps-5-13_xsd/complexTypes/VolatilitySwapTransactionSupplement/volatilityLeg.html</vt:lpwstr>
      </vt:variant>
      <vt:variant>
        <vt:lpwstr/>
      </vt:variant>
      <vt:variant>
        <vt:i4>720951</vt:i4>
      </vt:variant>
      <vt:variant>
        <vt:i4>84</vt:i4>
      </vt:variant>
      <vt:variant>
        <vt:i4>0</vt:i4>
      </vt:variant>
      <vt:variant>
        <vt:i4>5</vt:i4>
      </vt:variant>
      <vt:variant>
        <vt:lpwstr>https://www.fpml.org/spec/fpml-5-13-7-rec-1/html/confirmation/schemaDocumentation/schemas/fpml-volatility-swaps-5-13_xsd/elements/volatilitySwap.html</vt:lpwstr>
      </vt:variant>
      <vt:variant>
        <vt:lpwstr/>
      </vt:variant>
      <vt:variant>
        <vt:i4>6357019</vt:i4>
      </vt:variant>
      <vt:variant>
        <vt:i4>81</vt:i4>
      </vt:variant>
      <vt:variant>
        <vt:i4>0</vt:i4>
      </vt:variant>
      <vt:variant>
        <vt:i4>5</vt:i4>
      </vt:variant>
      <vt:variant>
        <vt:lpwstr>https://www.fpml.org/spec/fpml-5-13-7-rec-1/html/confirmation/schemaDocumentation/schemas/fpml-volatility-swaps-5-13_xsd/complexTypes/VolatilitySwap/volatilityLeg.html</vt:lpwstr>
      </vt:variant>
      <vt:variant>
        <vt:lpwstr/>
      </vt:variant>
      <vt:variant>
        <vt:i4>983091</vt:i4>
      </vt:variant>
      <vt:variant>
        <vt:i4>78</vt:i4>
      </vt:variant>
      <vt:variant>
        <vt:i4>0</vt:i4>
      </vt:variant>
      <vt:variant>
        <vt:i4>5</vt:i4>
      </vt:variant>
      <vt:variant>
        <vt:lpwstr>https://www.fpml.org/spec/fpml-5-13-7-rec-1/html/confirmation/schemaDocumentation/schemas/fpml-variance-swaps-5-13_xsd/elements/varianceSwap.html</vt:lpwstr>
      </vt:variant>
      <vt:variant>
        <vt:lpwstr/>
      </vt:variant>
      <vt:variant>
        <vt:i4>1376363</vt:i4>
      </vt:variant>
      <vt:variant>
        <vt:i4>75</vt:i4>
      </vt:variant>
      <vt:variant>
        <vt:i4>0</vt:i4>
      </vt:variant>
      <vt:variant>
        <vt:i4>5</vt:i4>
      </vt:variant>
      <vt:variant>
        <vt:lpwstr>https://www.fpml.org/spec/fpml-5-13-7-rec-1/html/confirmation/schemaDocumentation/schemas/fpml-variance-swaps-5-13_xsd/complexTypes/VarianceSwap/varianceLeg.html</vt:lpwstr>
      </vt:variant>
      <vt:variant>
        <vt:lpwstr/>
      </vt:variant>
      <vt:variant>
        <vt:i4>2162702</vt:i4>
      </vt:variant>
      <vt:variant>
        <vt:i4>72</vt:i4>
      </vt:variant>
      <vt:variant>
        <vt:i4>0</vt:i4>
      </vt:variant>
      <vt:variant>
        <vt:i4>5</vt:i4>
      </vt:variant>
      <vt:variant>
        <vt:lpwstr>https://www.fpml.org/spec/fpml-5-13-7-rec-1/html/confirmation/schemaDocumentation/schemas/fpml-variance-swaps-5-13_xsd/complexTypes/VarianceSwapTransactionSupplement.html</vt:lpwstr>
      </vt:variant>
      <vt:variant>
        <vt:lpwstr/>
      </vt:variant>
      <vt:variant>
        <vt:i4>6815747</vt:i4>
      </vt:variant>
      <vt:variant>
        <vt:i4>69</vt:i4>
      </vt:variant>
      <vt:variant>
        <vt:i4>0</vt:i4>
      </vt:variant>
      <vt:variant>
        <vt:i4>5</vt:i4>
      </vt:variant>
      <vt:variant>
        <vt:lpwstr>https://www.fpml.org/spec/fpml-5-13-7-rec-1/html/confirmation/schemaDocumentation/schemas/fpml-variance-swaps-5-13_xsd/complexTypes/VarianceSwapTransactionSupplement/varianceLeg.html</vt:lpwstr>
      </vt:variant>
      <vt:variant>
        <vt:lpwstr/>
      </vt:variant>
      <vt:variant>
        <vt:i4>1966193</vt:i4>
      </vt:variant>
      <vt:variant>
        <vt:i4>66</vt:i4>
      </vt:variant>
      <vt:variant>
        <vt:i4>0</vt:i4>
      </vt:variant>
      <vt:variant>
        <vt:i4>5</vt:i4>
      </vt:variant>
      <vt:variant>
        <vt:lpwstr>https://www.fpml.org/spec/fpml-5-13-7-rec-1/html/confirmation/schemaDocumentation/schemas/fpml-correlation-swaps-5-13_xsd/complexTypes/CorrelationSwap/correlationLeg.html</vt:lpwstr>
      </vt:variant>
      <vt:variant>
        <vt:lpwstr/>
      </vt:variant>
      <vt:variant>
        <vt:i4>2228252</vt:i4>
      </vt:variant>
      <vt:variant>
        <vt:i4>63</vt:i4>
      </vt:variant>
      <vt:variant>
        <vt:i4>0</vt:i4>
      </vt:variant>
      <vt:variant>
        <vt:i4>5</vt:i4>
      </vt:variant>
      <vt:variant>
        <vt:lpwstr>https://cdn.fpml.org/spec/fpml-5-13-7-rec-1/html/confirmation/schemaDocumentation/schemas/fpml-return-swaps-5-13_xsd/complexTypes/EquitySwapTransactionSupplement.html</vt:lpwstr>
      </vt:variant>
      <vt:variant>
        <vt:lpwstr/>
      </vt:variant>
      <vt:variant>
        <vt:i4>4980853</vt:i4>
      </vt:variant>
      <vt:variant>
        <vt:i4>60</vt:i4>
      </vt:variant>
      <vt:variant>
        <vt:i4>0</vt:i4>
      </vt:variant>
      <vt:variant>
        <vt:i4>5</vt:i4>
      </vt:variant>
      <vt:variant>
        <vt:lpwstr>https://cdn.fpml.org/spec/fpml-5-13-7-rec-1/html/confirmation/schemaDocumentation/schemas/fpml-eq-shared-5-13_xsd/complexTypes/ReturnSwap.html</vt:lpwstr>
      </vt:variant>
      <vt:variant>
        <vt:lpwstr/>
      </vt:variant>
      <vt:variant>
        <vt:i4>4849719</vt:i4>
      </vt:variant>
      <vt:variant>
        <vt:i4>57</vt:i4>
      </vt:variant>
      <vt:variant>
        <vt:i4>0</vt:i4>
      </vt:variant>
      <vt:variant>
        <vt:i4>5</vt:i4>
      </vt:variant>
      <vt:variant>
        <vt:lpwstr>https://cdn.fpml.org/spec/fpml-5-13-7-rec-1/html/confirmation/schemaDocumentation/schemas/fpml-eq-shared-5-13_xsd/complexTypes/ReturnLegValuationPrice/valuationRules.html</vt:lpwstr>
      </vt:variant>
      <vt:variant>
        <vt:lpwstr/>
      </vt:variant>
      <vt:variant>
        <vt:i4>5177378</vt:i4>
      </vt:variant>
      <vt:variant>
        <vt:i4>54</vt:i4>
      </vt:variant>
      <vt:variant>
        <vt:i4>0</vt:i4>
      </vt:variant>
      <vt:variant>
        <vt:i4>5</vt:i4>
      </vt:variant>
      <vt:variant>
        <vt:lpwstr>https://www.fpml.org/spec/fpml-5-13-7-rec-1/html/confirmation/schemaDocumentation/schemas/fpml-eqd-5-13_xsd/elements/equityOptionTransactionSupplement.html</vt:lpwstr>
      </vt:variant>
      <vt:variant>
        <vt:lpwstr/>
      </vt:variant>
      <vt:variant>
        <vt:i4>983159</vt:i4>
      </vt:variant>
      <vt:variant>
        <vt:i4>51</vt:i4>
      </vt:variant>
      <vt:variant>
        <vt:i4>0</vt:i4>
      </vt:variant>
      <vt:variant>
        <vt:i4>5</vt:i4>
      </vt:variant>
      <vt:variant>
        <vt:lpwstr>https://www.fpml.org/spec/fpml-5-13-7-rec-1/html/confirmation/schemaDocumentation/schemas/fpml-eqd-5-13_xsd/elements/equityOption.html</vt:lpwstr>
      </vt:variant>
      <vt:variant>
        <vt:lpwstr/>
      </vt:variant>
      <vt:variant>
        <vt:i4>5832757</vt:i4>
      </vt:variant>
      <vt:variant>
        <vt:i4>48</vt:i4>
      </vt:variant>
      <vt:variant>
        <vt:i4>0</vt:i4>
      </vt:variant>
      <vt:variant>
        <vt:i4>5</vt:i4>
      </vt:variant>
      <vt:variant>
        <vt:lpwstr>https://www.fpml.org/spec/fpml-5-13-7-rec-1/html/confirmation/schemaDocumentation/schemas/fpml-eqd-5-13_xsd/elements/equityForward.html</vt:lpwstr>
      </vt:variant>
      <vt:variant>
        <vt:lpwstr/>
      </vt:variant>
      <vt:variant>
        <vt:i4>6750236</vt:i4>
      </vt:variant>
      <vt:variant>
        <vt:i4>45</vt:i4>
      </vt:variant>
      <vt:variant>
        <vt:i4>0</vt:i4>
      </vt:variant>
      <vt:variant>
        <vt:i4>5</vt:i4>
      </vt:variant>
      <vt:variant>
        <vt:lpwstr>https://www.fpml.org/spec/fpml-5-13-7-rec-1/html/confirmation/schemaDocumentation/schemas/fpml-eqd-5-13_xsd/elements/brokerEquityOption.html</vt:lpwstr>
      </vt:variant>
      <vt:variant>
        <vt:lpwstr/>
      </vt:variant>
      <vt:variant>
        <vt:i4>4718696</vt:i4>
      </vt:variant>
      <vt:variant>
        <vt:i4>42</vt:i4>
      </vt:variant>
      <vt:variant>
        <vt:i4>0</vt:i4>
      </vt:variant>
      <vt:variant>
        <vt:i4>5</vt:i4>
      </vt:variant>
      <vt:variant>
        <vt:lpwstr>https://www.fpml.org/spec/fpml-5-13-7-rec-1/html/confirmation/schemaDocumentation/schemas/fpml-eqd-5-13_xsd/complexTypes/EquityExerciseValuationSettlement/equityValuation.html</vt:lpwstr>
      </vt:variant>
      <vt:variant>
        <vt:lpwstr/>
      </vt:variant>
      <vt:variant>
        <vt:i4>6422617</vt:i4>
      </vt:variant>
      <vt:variant>
        <vt:i4>39</vt:i4>
      </vt:variant>
      <vt:variant>
        <vt:i4>0</vt:i4>
      </vt:variant>
      <vt:variant>
        <vt:i4>5</vt:i4>
      </vt:variant>
      <vt:variant>
        <vt:lpwstr>https://www.fpml.org/spec/fpml-5-13-7-rec-1/html/confirmation/schemaDocumentation/schemas/fpml-eqd-5-13_xsd/complexTypes/EquityDerivativeBase/equityExercise.html</vt:lpwstr>
      </vt:variant>
      <vt:variant>
        <vt:lpwstr/>
      </vt:variant>
      <vt:variant>
        <vt:i4>1507377</vt:i4>
      </vt:variant>
      <vt:variant>
        <vt:i4>32</vt:i4>
      </vt:variant>
      <vt:variant>
        <vt:i4>0</vt:i4>
      </vt:variant>
      <vt:variant>
        <vt:i4>5</vt:i4>
      </vt:variant>
      <vt:variant>
        <vt:lpwstr/>
      </vt:variant>
      <vt:variant>
        <vt:lpwstr>_Toc223723269</vt:lpwstr>
      </vt:variant>
      <vt:variant>
        <vt:i4>1507377</vt:i4>
      </vt:variant>
      <vt:variant>
        <vt:i4>26</vt:i4>
      </vt:variant>
      <vt:variant>
        <vt:i4>0</vt:i4>
      </vt:variant>
      <vt:variant>
        <vt:i4>5</vt:i4>
      </vt:variant>
      <vt:variant>
        <vt:lpwstr/>
      </vt:variant>
      <vt:variant>
        <vt:lpwstr>_Toc223723268</vt:lpwstr>
      </vt:variant>
      <vt:variant>
        <vt:i4>1507377</vt:i4>
      </vt:variant>
      <vt:variant>
        <vt:i4>20</vt:i4>
      </vt:variant>
      <vt:variant>
        <vt:i4>0</vt:i4>
      </vt:variant>
      <vt:variant>
        <vt:i4>5</vt:i4>
      </vt:variant>
      <vt:variant>
        <vt:lpwstr/>
      </vt:variant>
      <vt:variant>
        <vt:lpwstr>_Toc223723267</vt:lpwstr>
      </vt:variant>
      <vt:variant>
        <vt:i4>1507377</vt:i4>
      </vt:variant>
      <vt:variant>
        <vt:i4>14</vt:i4>
      </vt:variant>
      <vt:variant>
        <vt:i4>0</vt:i4>
      </vt:variant>
      <vt:variant>
        <vt:i4>5</vt:i4>
      </vt:variant>
      <vt:variant>
        <vt:lpwstr/>
      </vt:variant>
      <vt:variant>
        <vt:lpwstr>_Toc223723266</vt:lpwstr>
      </vt:variant>
      <vt:variant>
        <vt:i4>1507377</vt:i4>
      </vt:variant>
      <vt:variant>
        <vt:i4>8</vt:i4>
      </vt:variant>
      <vt:variant>
        <vt:i4>0</vt:i4>
      </vt:variant>
      <vt:variant>
        <vt:i4>5</vt:i4>
      </vt:variant>
      <vt:variant>
        <vt:lpwstr/>
      </vt:variant>
      <vt:variant>
        <vt:lpwstr>_Toc223723265</vt:lpwstr>
      </vt:variant>
      <vt:variant>
        <vt:i4>1507377</vt:i4>
      </vt:variant>
      <vt:variant>
        <vt:i4>2</vt:i4>
      </vt:variant>
      <vt:variant>
        <vt:i4>0</vt:i4>
      </vt:variant>
      <vt:variant>
        <vt:i4>5</vt:i4>
      </vt:variant>
      <vt:variant>
        <vt:lpwstr/>
      </vt:variant>
      <vt:variant>
        <vt:lpwstr>_Toc223723264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Michelangelo de Marzio</dc:creator>
  <cp:keywords/>
  <dc:description/>
  <cp:lastModifiedBy>Gaurav Pandey</cp:lastModifiedBy>
  <cp:revision>16</cp:revision>
  <dcterms:created xsi:type="dcterms:W3CDTF">2026-05-14T21:05:00Z</dcterms:created>
  <dcterms:modified xsi:type="dcterms:W3CDTF">2026-09-16T15:12:00Z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0x010100FDCD52FE36569E4998CE95CD527CE249</vt:lpwstr>
  </property>
  <property fmtid="{D5CDD505-2E9C-101B-9397-08002B2CF9AE}" pid="3" name="MediaServiceImageTags">
    <vt:lpwstr/>
  </property>
  <property fmtid="{D5CDD505-2E9C-101B-9397-08002B2CF9AE}" pid="4" name="docLang">
    <vt:lpwstr>en</vt:lpwstr>
  </property>
</Properties>
</file>